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24556819"/>
        <w:docPartObj>
          <w:docPartGallery w:val="Cover Pages"/>
          <w:docPartUnique/>
        </w:docPartObj>
      </w:sdtPr>
      <w:sdtContent>
        <w:p w:rsidR="00493AE5" w:rsidRDefault="00493AE5"/>
        <w:p w:rsidR="00493AE5" w:rsidRDefault="00525C20">
          <w:pPr>
            <w:spacing w:after="160" w:line="259" w:lineRule="auto"/>
            <w:jc w:val="left"/>
            <w:rPr>
              <w:rFonts w:eastAsia="Batang" w:cs="Arial"/>
              <w:b/>
              <w:bCs/>
              <w:snapToGrid w:val="0"/>
              <w:lang w:eastAsia="it-IT"/>
            </w:rPr>
          </w:pPr>
          <w:r w:rsidRPr="00525C20">
            <w:rPr>
              <w:rFonts w:eastAsiaTheme="majorEastAsia" w:cstheme="majorBidi"/>
              <w:b/>
              <w:noProof/>
              <w:sz w:val="32"/>
              <w:szCs w:val="32"/>
            </w:rPr>
            <w:pict>
              <v:rect id="Rettangolo 5" o:spid="_x0000_s1026" style="position:absolute;margin-left:0;margin-top:264.15pt;width:286.85pt;height:129.6pt;z-index:25166643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" fillcolor="white [3212]" strokecolor="white [3212]" strokeweight="1pt">
                <v:textbox>
                  <w:txbxContent>
                    <w:p w:rsidR="006F472B" w:rsidRPr="006F472B" w:rsidRDefault="00525C20" w:rsidP="006F472B">
                      <w:pPr>
                        <w:jc w:val="center"/>
                        <w:rPr>
                          <w:rFonts w:ascii="Times New Roman" w:hAnsi="Times New Roman" w:cs="Times New Roman"/>
                          <w:i/>
                          <w:color w:val="A5300F" w:themeColor="accent1"/>
                          <w:sz w:val="40"/>
                          <w:szCs w:val="64"/>
                        </w:rPr>
                      </w:pPr>
                      <w:sdt>
                        <w:sdtPr>
                          <w:rPr>
                            <w:rFonts w:ascii="Times New Roman" w:hAnsi="Times New Roman" w:cs="Times New Roman"/>
                            <w:color w:val="000000" w:themeColor="text1"/>
                            <w:sz w:val="40"/>
                            <w:szCs w:val="64"/>
                          </w:rPr>
                          <w:alias w:val="Titolo"/>
                          <w:tag w:val=""/>
                          <w:id w:val="-1820800136"/>
                          <w:showingPlcHdr/>
                          <w:dataBinding w:prefixMappings="xmlns:ns0='http://purl.org/dc/elements/1.1/' xmlns:ns1='http://schemas.openxmlformats.org/package/2006/metadata/core-properties' " w:xpath="/ns1:coreProperties[1]/ns0:title[1]" w:storeItemID="{6C3C8BC8-F283-45AE-878A-BAB7291924A1}"/>
                          <w:text w:multiLine="1"/>
                        </w:sdtPr>
                        <w:sdtContent>
                          <w:r w:rsidR="006F472B">
                            <w:rPr>
                              <w:rFonts w:ascii="Times New Roman" w:hAnsi="Times New Roman" w:cs="Times New Roman"/>
                              <w:color w:val="000000" w:themeColor="text1"/>
                              <w:sz w:val="40"/>
                              <w:szCs w:val="64"/>
                            </w:rPr>
                            <w:t xml:space="preserve">     </w:t>
                          </w:r>
                        </w:sdtContent>
                      </w:sdt>
                      <w:r w:rsidR="006F472B" w:rsidRPr="006F472B">
                        <w:rPr>
                          <w:rFonts w:ascii="Times New Roman" w:hAnsi="Times New Roman" w:cs="Times New Roman"/>
                          <w:i/>
                          <w:color w:val="000000" w:themeColor="text1"/>
                          <w:sz w:val="40"/>
                        </w:rPr>
                        <w:t>Contingency Funding Plan</w:t>
                      </w:r>
                    </w:p>
                  </w:txbxContent>
                </v:textbox>
                <w10:wrap anchorx="margin"/>
              </v:rect>
            </w:pict>
          </w:r>
          <w:r w:rsidR="006F472B" w:rsidRPr="00784CDF">
            <w:rPr>
              <w:rFonts w:ascii="Calibri" w:hAnsi="Calibri" w:cs="Calibri"/>
              <w:noProof/>
              <w:sz w:val="24"/>
              <w:szCs w:val="24"/>
              <w:lang w:eastAsia="it-IT"/>
            </w:rPr>
            <w:drawing>
              <wp:anchor distT="0" distB="0" distL="114300" distR="114300" simplePos="0" relativeHeight="251664384" behindDoc="1" locked="0" layoutInCell="1" allowOverlap="1">
                <wp:simplePos x="0" y="0"/>
                <wp:positionH relativeFrom="margin">
                  <wp:align>center</wp:align>
                </wp:positionH>
                <wp:positionV relativeFrom="paragraph">
                  <wp:posOffset>274320</wp:posOffset>
                </wp:positionV>
                <wp:extent cx="5295900" cy="1198880"/>
                <wp:effectExtent l="0" t="0" r="0" b="1270"/>
                <wp:wrapTight wrapText="bothSides">
                  <wp:wrapPolygon edited="0">
                    <wp:start x="1399" y="0"/>
                    <wp:lineTo x="1088" y="1373"/>
                    <wp:lineTo x="932" y="3432"/>
                    <wp:lineTo x="932" y="5492"/>
                    <wp:lineTo x="0" y="10640"/>
                    <wp:lineTo x="0" y="17504"/>
                    <wp:lineTo x="1399" y="21280"/>
                    <wp:lineTo x="15306" y="21280"/>
                    <wp:lineTo x="21367" y="16818"/>
                    <wp:lineTo x="21522" y="10983"/>
                    <wp:lineTo x="21522" y="5492"/>
                    <wp:lineTo x="4662" y="4462"/>
                    <wp:lineTo x="4273" y="3089"/>
                    <wp:lineTo x="2875" y="0"/>
                    <wp:lineTo x="1399" y="0"/>
                  </wp:wrapPolygon>
                </wp:wrapTight>
                <wp:docPr id="8" name="Immagine 8" descr="C:\Users\Franco\Desktop\Logo Confeserfidi\Confeserfid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Logo Confeserfidi\Confeserfidi 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95900" cy="1198880"/>
                        </a:xfrm>
                        <a:prstGeom prst="rect">
                          <a:avLst/>
                        </a:prstGeom>
                        <a:noFill/>
                        <a:ln>
                          <a:noFill/>
                        </a:ln>
                      </pic:spPr>
                    </pic:pic>
                  </a:graphicData>
                </a:graphic>
              </wp:anchor>
            </w:drawing>
          </w:r>
          <w:r w:rsidR="00493AE5">
            <w:br w:type="page"/>
          </w:r>
          <w:r w:rsidRPr="00525C20">
            <w:rPr>
              <w:rFonts w:ascii="Calibri" w:hAnsi="Calibri" w:cs="Calibri"/>
              <w:noProof/>
              <w:sz w:val="24"/>
              <w:szCs w:val="24"/>
              <w:lang w:eastAsia="it-IT"/>
            </w:rPr>
            <w:pict>
              <v:rect id="Rectangle 3" o:spid="_x0000_s1027" style="position:absolute;margin-left:0;margin-top:-.05pt;width:494pt;height:606.85pt;z-index:25166233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" filled="f" strokecolor="black [3213]" strokeweight="1pt">
                <w10:wrap anchorx="margin"/>
              </v:rect>
            </w:pict>
          </w:r>
        </w:p>
      </w:sdtContent>
    </w:sdt>
    <w:p w:rsidR="008924C9" w:rsidRPr="006E1734" w:rsidRDefault="008924C9" w:rsidP="008924C9">
      <w:pPr>
        <w:rPr>
          <w:rFonts w:cstheme="minorHAnsi"/>
          <w:b/>
          <w:sz w:val="24"/>
          <w:szCs w:val="24"/>
        </w:rPr>
      </w:pPr>
      <w:bookmarkStart w:id="0" w:name="_Toc505677997"/>
      <w:bookmarkStart w:id="1" w:name="_Hlk505681573"/>
      <w:r w:rsidRPr="006E1734">
        <w:rPr>
          <w:rFonts w:cstheme="minorHAnsi"/>
          <w:b/>
          <w:sz w:val="24"/>
          <w:szCs w:val="24"/>
        </w:rPr>
        <w:lastRenderedPageBreak/>
        <w:t>Matrice delle revisioni</w:t>
      </w:r>
    </w:p>
    <w:tbl>
      <w:tblPr>
        <w:tblStyle w:val="Grigliatabella"/>
        <w:tblW w:w="8642" w:type="dxa"/>
        <w:jc w:val="center"/>
        <w:tblLook w:val="04A0"/>
      </w:tblPr>
      <w:tblGrid>
        <w:gridCol w:w="531"/>
        <w:gridCol w:w="1299"/>
        <w:gridCol w:w="670"/>
        <w:gridCol w:w="1299"/>
        <w:gridCol w:w="1542"/>
        <w:gridCol w:w="1817"/>
        <w:gridCol w:w="1484"/>
      </w:tblGrid>
      <w:tr w:rsidR="008924C9" w:rsidRPr="006E1734" w:rsidTr="008924C9">
        <w:trPr>
          <w:trHeight w:val="376"/>
          <w:jc w:val="center"/>
        </w:trPr>
        <w:tc>
          <w:tcPr>
            <w:tcW w:w="531" w:type="dxa"/>
            <w:vAlign w:val="center"/>
          </w:tcPr>
          <w:p w:rsidR="008924C9" w:rsidRPr="006E1734" w:rsidRDefault="008924C9" w:rsidP="006169F2">
            <w:pPr>
              <w:jc w:val="center"/>
              <w:rPr>
                <w:rFonts w:cstheme="minorHAnsi"/>
              </w:rPr>
            </w:pPr>
            <w:r w:rsidRPr="006E1734">
              <w:rPr>
                <w:rFonts w:cstheme="minorHAnsi"/>
              </w:rPr>
              <w:t>Ed</w:t>
            </w:r>
          </w:p>
        </w:tc>
        <w:tc>
          <w:tcPr>
            <w:tcW w:w="1299" w:type="dxa"/>
            <w:vAlign w:val="center"/>
          </w:tcPr>
          <w:p w:rsidR="008924C9" w:rsidRPr="006E1734" w:rsidRDefault="008924C9" w:rsidP="006169F2">
            <w:pPr>
              <w:jc w:val="center"/>
              <w:rPr>
                <w:rFonts w:cstheme="minorHAnsi"/>
              </w:rPr>
            </w:pPr>
            <w:r w:rsidRPr="006E1734">
              <w:rPr>
                <w:rFonts w:cstheme="minorHAnsi"/>
              </w:rPr>
              <w:t>Data</w:t>
            </w:r>
          </w:p>
        </w:tc>
        <w:tc>
          <w:tcPr>
            <w:tcW w:w="670" w:type="dxa"/>
            <w:vAlign w:val="center"/>
          </w:tcPr>
          <w:p w:rsidR="008924C9" w:rsidRPr="006E1734" w:rsidRDefault="008924C9" w:rsidP="006169F2">
            <w:pPr>
              <w:jc w:val="center"/>
              <w:rPr>
                <w:rFonts w:cstheme="minorHAnsi"/>
              </w:rPr>
            </w:pPr>
            <w:proofErr w:type="spellStart"/>
            <w:r w:rsidRPr="006E1734">
              <w:rPr>
                <w:rFonts w:cstheme="minorHAnsi"/>
              </w:rPr>
              <w:t>Rev</w:t>
            </w:r>
            <w:proofErr w:type="spellEnd"/>
          </w:p>
        </w:tc>
        <w:tc>
          <w:tcPr>
            <w:tcW w:w="1299" w:type="dxa"/>
            <w:vAlign w:val="center"/>
          </w:tcPr>
          <w:p w:rsidR="008924C9" w:rsidRPr="006E1734" w:rsidRDefault="008924C9" w:rsidP="006169F2">
            <w:pPr>
              <w:jc w:val="center"/>
              <w:rPr>
                <w:rFonts w:cstheme="minorHAnsi"/>
              </w:rPr>
            </w:pPr>
            <w:r w:rsidRPr="006E1734">
              <w:rPr>
                <w:rFonts w:cstheme="minorHAnsi"/>
              </w:rPr>
              <w:t>Data</w:t>
            </w:r>
          </w:p>
        </w:tc>
        <w:tc>
          <w:tcPr>
            <w:tcW w:w="1542" w:type="dxa"/>
            <w:vAlign w:val="center"/>
          </w:tcPr>
          <w:p w:rsidR="008924C9" w:rsidRPr="006E1734" w:rsidRDefault="008924C9" w:rsidP="006169F2">
            <w:pPr>
              <w:jc w:val="center"/>
              <w:rPr>
                <w:rFonts w:cstheme="minorHAnsi"/>
              </w:rPr>
            </w:pPr>
            <w:r w:rsidRPr="006E1734">
              <w:rPr>
                <w:rFonts w:cstheme="minorHAnsi"/>
              </w:rPr>
              <w:t>Descrizione</w:t>
            </w:r>
          </w:p>
        </w:tc>
        <w:tc>
          <w:tcPr>
            <w:tcW w:w="1817" w:type="dxa"/>
            <w:vAlign w:val="center"/>
          </w:tcPr>
          <w:p w:rsidR="008924C9" w:rsidRPr="006E1734" w:rsidRDefault="008924C9" w:rsidP="006169F2">
            <w:pPr>
              <w:jc w:val="center"/>
              <w:rPr>
                <w:rFonts w:cstheme="minorHAnsi"/>
              </w:rPr>
            </w:pPr>
            <w:r w:rsidRPr="006E1734">
              <w:rPr>
                <w:rFonts w:cstheme="minorHAnsi"/>
              </w:rPr>
              <w:t>Emesso da</w:t>
            </w:r>
          </w:p>
        </w:tc>
        <w:tc>
          <w:tcPr>
            <w:tcW w:w="1484" w:type="dxa"/>
            <w:vAlign w:val="center"/>
          </w:tcPr>
          <w:p w:rsidR="008924C9" w:rsidRPr="006E1734" w:rsidRDefault="008924C9" w:rsidP="006169F2">
            <w:pPr>
              <w:jc w:val="center"/>
              <w:rPr>
                <w:rFonts w:cstheme="minorHAnsi"/>
              </w:rPr>
            </w:pPr>
            <w:r w:rsidRPr="006E1734">
              <w:rPr>
                <w:rFonts w:cstheme="minorHAnsi"/>
              </w:rPr>
              <w:t>Approvato da</w:t>
            </w:r>
          </w:p>
        </w:tc>
      </w:tr>
      <w:tr w:rsidR="008924C9" w:rsidRPr="006E1734" w:rsidTr="008924C9">
        <w:trPr>
          <w:trHeight w:val="423"/>
          <w:jc w:val="center"/>
        </w:trPr>
        <w:tc>
          <w:tcPr>
            <w:tcW w:w="531" w:type="dxa"/>
            <w:vAlign w:val="center"/>
          </w:tcPr>
          <w:p w:rsidR="008924C9" w:rsidRPr="006E1734" w:rsidRDefault="008924C9" w:rsidP="006169F2">
            <w:pPr>
              <w:jc w:val="center"/>
              <w:rPr>
                <w:rFonts w:cstheme="minorHAnsi"/>
              </w:rPr>
            </w:pPr>
            <w:r w:rsidRPr="006E1734">
              <w:rPr>
                <w:rFonts w:cstheme="minorHAnsi"/>
              </w:rPr>
              <w:t>0</w:t>
            </w:r>
            <w:r>
              <w:rPr>
                <w:rFonts w:cstheme="minorHAnsi"/>
              </w:rPr>
              <w:t>0</w:t>
            </w:r>
          </w:p>
        </w:tc>
        <w:tc>
          <w:tcPr>
            <w:tcW w:w="1299" w:type="dxa"/>
            <w:vAlign w:val="center"/>
          </w:tcPr>
          <w:p w:rsidR="008924C9" w:rsidRPr="00644F6C" w:rsidRDefault="00992901" w:rsidP="006169F2">
            <w:pPr>
              <w:jc w:val="center"/>
              <w:rPr>
                <w:rFonts w:cstheme="minorHAnsi"/>
                <w:highlight w:val="yellow"/>
              </w:rPr>
            </w:pPr>
            <w:r>
              <w:rPr>
                <w:rFonts w:cstheme="minorHAnsi"/>
              </w:rPr>
              <w:t>23/</w:t>
            </w:r>
            <w:r w:rsidR="008924C9" w:rsidRPr="00992901">
              <w:rPr>
                <w:rFonts w:cstheme="minorHAnsi"/>
              </w:rPr>
              <w:t>11/2022</w:t>
            </w:r>
          </w:p>
        </w:tc>
        <w:tc>
          <w:tcPr>
            <w:tcW w:w="670" w:type="dxa"/>
            <w:vAlign w:val="center"/>
          </w:tcPr>
          <w:p w:rsidR="008924C9" w:rsidRPr="006E1734" w:rsidRDefault="008924C9" w:rsidP="006169F2">
            <w:pPr>
              <w:jc w:val="center"/>
              <w:rPr>
                <w:rFonts w:cstheme="minorHAnsi"/>
              </w:rPr>
            </w:pPr>
            <w:r w:rsidRPr="006E1734">
              <w:rPr>
                <w:rFonts w:cstheme="minorHAnsi"/>
              </w:rPr>
              <w:t>00</w:t>
            </w:r>
          </w:p>
        </w:tc>
        <w:tc>
          <w:tcPr>
            <w:tcW w:w="1299" w:type="dxa"/>
            <w:vAlign w:val="center"/>
          </w:tcPr>
          <w:p w:rsidR="008924C9" w:rsidRPr="006E1734" w:rsidRDefault="00992901" w:rsidP="006169F2">
            <w:pPr>
              <w:jc w:val="center"/>
              <w:rPr>
                <w:rFonts w:cstheme="minorHAnsi"/>
              </w:rPr>
            </w:pPr>
            <w:r>
              <w:rPr>
                <w:rFonts w:cstheme="minorHAnsi"/>
              </w:rPr>
              <w:t>23/</w:t>
            </w:r>
            <w:r w:rsidR="008924C9">
              <w:rPr>
                <w:rFonts w:cstheme="minorHAnsi"/>
              </w:rPr>
              <w:t>11</w:t>
            </w:r>
            <w:r w:rsidR="008924C9" w:rsidRPr="006E1734">
              <w:rPr>
                <w:rFonts w:cstheme="minorHAnsi"/>
              </w:rPr>
              <w:t>/</w:t>
            </w:r>
            <w:r w:rsidR="008924C9">
              <w:rPr>
                <w:rFonts w:cstheme="minorHAnsi"/>
              </w:rPr>
              <w:t>2022</w:t>
            </w:r>
          </w:p>
        </w:tc>
        <w:tc>
          <w:tcPr>
            <w:tcW w:w="1542" w:type="dxa"/>
            <w:vAlign w:val="center"/>
          </w:tcPr>
          <w:p w:rsidR="008924C9" w:rsidRPr="00992901" w:rsidRDefault="008924C9" w:rsidP="006169F2">
            <w:pPr>
              <w:jc w:val="center"/>
              <w:rPr>
                <w:rFonts w:cstheme="minorHAnsi"/>
              </w:rPr>
            </w:pPr>
            <w:r w:rsidRPr="00992901">
              <w:rPr>
                <w:rFonts w:cstheme="minorHAnsi"/>
              </w:rPr>
              <w:t>Prima emissione</w:t>
            </w:r>
          </w:p>
        </w:tc>
        <w:tc>
          <w:tcPr>
            <w:tcW w:w="1817" w:type="dxa"/>
            <w:vAlign w:val="center"/>
          </w:tcPr>
          <w:p w:rsidR="008924C9" w:rsidRPr="00992901" w:rsidRDefault="00992901" w:rsidP="006169F2">
            <w:pPr>
              <w:jc w:val="center"/>
              <w:rPr>
                <w:rFonts w:cstheme="minorHAnsi"/>
              </w:rPr>
            </w:pPr>
            <w:r>
              <w:rPr>
                <w:rFonts w:cstheme="minorHAnsi"/>
              </w:rPr>
              <w:t>Funzione Controllo Rischi</w:t>
            </w:r>
          </w:p>
          <w:p w:rsidR="008924C9" w:rsidRPr="00992901" w:rsidRDefault="008924C9" w:rsidP="006169F2">
            <w:pPr>
              <w:jc w:val="center"/>
              <w:rPr>
                <w:rFonts w:cstheme="minorHAnsi"/>
              </w:rPr>
            </w:pPr>
          </w:p>
        </w:tc>
        <w:tc>
          <w:tcPr>
            <w:tcW w:w="1484" w:type="dxa"/>
            <w:vAlign w:val="center"/>
          </w:tcPr>
          <w:p w:rsidR="008924C9" w:rsidRPr="006E1734" w:rsidRDefault="008924C9" w:rsidP="006169F2">
            <w:pPr>
              <w:jc w:val="center"/>
              <w:rPr>
                <w:rFonts w:cstheme="minorHAnsi"/>
              </w:rPr>
            </w:pPr>
            <w:r>
              <w:rPr>
                <w:rFonts w:cstheme="minorHAnsi"/>
              </w:rPr>
              <w:t>CDA</w:t>
            </w:r>
          </w:p>
        </w:tc>
      </w:tr>
    </w:tbl>
    <w:p w:rsidR="00F64D5B" w:rsidRDefault="00F64D5B" w:rsidP="007F10F5">
      <w:pPr>
        <w:pStyle w:val="Titolo"/>
        <w:jc w:val="center"/>
      </w:pPr>
    </w:p>
    <w:bookmarkEnd w:id="0"/>
    <w:p w:rsidR="007F10F5" w:rsidRDefault="007F10F5" w:rsidP="007F10F5">
      <w:pPr>
        <w:rPr>
          <w:b/>
          <w:bCs/>
          <w:kern w:val="28"/>
        </w:rPr>
      </w:pPr>
    </w:p>
    <w:bookmarkEnd w:id="1"/>
    <w:p w:rsidR="007F10F5" w:rsidRDefault="007F10F5" w:rsidP="007F10F5">
      <w:pPr>
        <w:rPr>
          <w:b/>
          <w:bCs/>
          <w:kern w:val="28"/>
        </w:rPr>
      </w:pPr>
    </w:p>
    <w:p w:rsidR="007F10F5" w:rsidRDefault="007F10F5" w:rsidP="007F10F5">
      <w:pPr>
        <w:rPr>
          <w:b/>
          <w:bCs/>
          <w:kern w:val="28"/>
        </w:rPr>
      </w:pPr>
    </w:p>
    <w:p w:rsidR="007F10F5" w:rsidRDefault="007F10F5" w:rsidP="007F10F5">
      <w:pPr>
        <w:rPr>
          <w:b/>
          <w:bCs/>
          <w:kern w:val="28"/>
        </w:rPr>
      </w:pPr>
    </w:p>
    <w:p w:rsidR="007F10F5" w:rsidRDefault="007F10F5" w:rsidP="007F10F5">
      <w:pPr>
        <w:rPr>
          <w:b/>
          <w:bCs/>
          <w:kern w:val="28"/>
        </w:rPr>
      </w:pPr>
    </w:p>
    <w:p w:rsidR="007F10F5" w:rsidRDefault="007F10F5" w:rsidP="00E40816">
      <w:pPr>
        <w:pStyle w:val="Titolo1"/>
      </w:pPr>
    </w:p>
    <w:p w:rsidR="007F10F5" w:rsidRPr="007F10F5" w:rsidRDefault="007F10F5" w:rsidP="007F10F5">
      <w:pPr>
        <w:rPr>
          <w:lang w:eastAsia="it-IT"/>
        </w:rPr>
      </w:pPr>
    </w:p>
    <w:p w:rsidR="007F10F5" w:rsidRDefault="007F10F5" w:rsidP="00E40816">
      <w:pPr>
        <w:pStyle w:val="Titolo1"/>
      </w:pPr>
      <w:r>
        <w:br w:type="page"/>
      </w:r>
    </w:p>
    <w:p w:rsidR="00B358D2" w:rsidRDefault="00E40816" w:rsidP="00E40816">
      <w:pPr>
        <w:pStyle w:val="Titolo1"/>
      </w:pPr>
      <w:r w:rsidRPr="00E40816">
        <w:lastRenderedPageBreak/>
        <w:t>CONTINGENCY FUNDING PLAN</w:t>
      </w:r>
    </w:p>
    <w:p w:rsidR="00E40816" w:rsidRPr="00E40816" w:rsidRDefault="00E40816" w:rsidP="00E40816">
      <w:pPr>
        <w:rPr>
          <w:lang w:eastAsia="it-IT"/>
        </w:rPr>
      </w:pPr>
    </w:p>
    <w:p w:rsidR="00E9376C" w:rsidRPr="000666B4" w:rsidRDefault="00E9376C" w:rsidP="00E40816">
      <w:pPr>
        <w:pStyle w:val="Titolo1"/>
        <w:numPr>
          <w:ilvl w:val="0"/>
          <w:numId w:val="31"/>
        </w:numPr>
      </w:pPr>
      <w:bookmarkStart w:id="2" w:name="_Toc305066053"/>
      <w:bookmarkStart w:id="3" w:name="_Toc316654609"/>
      <w:bookmarkStart w:id="4" w:name="_Toc453712267"/>
      <w:r w:rsidRPr="000666B4">
        <w:t>Premessa</w:t>
      </w:r>
      <w:bookmarkEnd w:id="2"/>
      <w:bookmarkEnd w:id="3"/>
      <w:bookmarkEnd w:id="4"/>
      <w:r w:rsidRPr="000666B4">
        <w:t xml:space="preserve"> </w:t>
      </w:r>
    </w:p>
    <w:p w:rsidR="00E9376C" w:rsidRPr="009121E6" w:rsidRDefault="00E9376C" w:rsidP="00720557">
      <w:r w:rsidRPr="009121E6">
        <w:t>Il presente documento disciplina il “Piano di emergenza” (c.d. “</w:t>
      </w:r>
      <w:r w:rsidRPr="009121E6">
        <w:rPr>
          <w:i/>
        </w:rPr>
        <w:t xml:space="preserve">Contingency Funding </w:t>
      </w:r>
      <w:proofErr w:type="spellStart"/>
      <w:r w:rsidRPr="009121E6">
        <w:rPr>
          <w:i/>
        </w:rPr>
        <w:t>Plan</w:t>
      </w:r>
      <w:proofErr w:type="spellEnd"/>
      <w:r w:rsidRPr="009121E6">
        <w:rPr>
          <w:i/>
        </w:rPr>
        <w:t xml:space="preserve">”) </w:t>
      </w:r>
      <w:r w:rsidRPr="009121E6">
        <w:t xml:space="preserve">adottato da </w:t>
      </w:r>
      <w:proofErr w:type="spellStart"/>
      <w:r w:rsidR="00DD3B0C" w:rsidRPr="009121E6">
        <w:t>Confeserfidi</w:t>
      </w:r>
      <w:proofErr w:type="spellEnd"/>
      <w:r w:rsidR="007F10F5" w:rsidRPr="009121E6">
        <w:t xml:space="preserve"> </w:t>
      </w:r>
      <w:proofErr w:type="spellStart"/>
      <w:r w:rsidR="007F10F5" w:rsidRPr="009121E6">
        <w:t>S.</w:t>
      </w:r>
      <w:r w:rsidR="00DD3B0C" w:rsidRPr="009121E6">
        <w:t>c</w:t>
      </w:r>
      <w:r w:rsidR="007F10F5" w:rsidRPr="009121E6">
        <w:t>.</w:t>
      </w:r>
      <w:r w:rsidR="00DD3B0C" w:rsidRPr="009121E6">
        <w:t>a</w:t>
      </w:r>
      <w:r w:rsidR="007F10F5" w:rsidRPr="009121E6">
        <w:t>.</w:t>
      </w:r>
      <w:r w:rsidR="00DD3B0C" w:rsidRPr="009121E6">
        <w:t>r.l</w:t>
      </w:r>
      <w:r w:rsidR="007F10F5" w:rsidRPr="009121E6">
        <w:t>.</w:t>
      </w:r>
      <w:proofErr w:type="spellEnd"/>
      <w:r w:rsidR="007F10F5" w:rsidRPr="009121E6">
        <w:t xml:space="preserve"> </w:t>
      </w:r>
      <w:r w:rsidRPr="009121E6">
        <w:t>per fronteggiare situazioni avverse nel reperimento di fondi.</w:t>
      </w:r>
    </w:p>
    <w:p w:rsidR="00E9376C" w:rsidRPr="007574CB" w:rsidRDefault="00E9376C" w:rsidP="00720557">
      <w:r w:rsidRPr="007574CB">
        <w:t xml:space="preserve">Il </w:t>
      </w:r>
      <w:r w:rsidRPr="007574CB">
        <w:rPr>
          <w:i/>
        </w:rPr>
        <w:t>Contingency Funding Plan</w:t>
      </w:r>
      <w:r w:rsidRPr="007574CB">
        <w:t xml:space="preserve"> (in seguito anche “</w:t>
      </w:r>
      <w:r w:rsidRPr="007574CB">
        <w:rPr>
          <w:i/>
        </w:rPr>
        <w:t>CFP”</w:t>
      </w:r>
      <w:r w:rsidRPr="007574CB">
        <w:t xml:space="preserve">) ha come finalità principale la protezione del patrimonio del Confidi in situazioni di deterioramento della posizione di liquidità attraverso l’individuazione delle strategie da attuare per la gestione della crisi e per il reperimento di fonti di </w:t>
      </w:r>
      <w:r w:rsidRPr="007574CB">
        <w:rPr>
          <w:i/>
        </w:rPr>
        <w:t>funding</w:t>
      </w:r>
      <w:r w:rsidRPr="007574CB">
        <w:t>.</w:t>
      </w:r>
    </w:p>
    <w:p w:rsidR="00E9376C" w:rsidRPr="007574CB" w:rsidRDefault="00E9376C" w:rsidP="00720557">
      <w:r w:rsidRPr="007574CB">
        <w:t xml:space="preserve">Nello specifico vengono illustrate le differenti tipologie di scenari operativi in cui il Confidi si può trovare ad operare (“normale corso degli affari” e “condizione di crisi”); inoltre, per ciascuno scenario avverso il </w:t>
      </w:r>
      <w:r w:rsidRPr="007574CB">
        <w:rPr>
          <w:i/>
        </w:rPr>
        <w:t>CFP</w:t>
      </w:r>
      <w:r w:rsidRPr="007574CB">
        <w:t xml:space="preserve"> definisce:</w:t>
      </w:r>
    </w:p>
    <w:p w:rsidR="00E9376C" w:rsidRPr="007574CB" w:rsidRDefault="00E9376C" w:rsidP="00720557">
      <w:pPr>
        <w:pStyle w:val="TestoPallino"/>
        <w:numPr>
          <w:ilvl w:val="0"/>
          <w:numId w:val="32"/>
        </w:numPr>
        <w:tabs>
          <w:tab w:val="clear" w:pos="1211"/>
          <w:tab w:val="num" w:pos="567"/>
        </w:tabs>
        <w:spacing w:line="276" w:lineRule="auto"/>
        <w:ind w:left="567" w:hanging="567"/>
        <w:jc w:val="both"/>
        <w:rPr>
          <w:rFonts w:ascii="Cambria" w:hAnsi="Cambria"/>
          <w:sz w:val="22"/>
          <w:szCs w:val="22"/>
        </w:rPr>
      </w:pPr>
      <w:r w:rsidRPr="007574CB">
        <w:rPr>
          <w:rFonts w:ascii="Cambria" w:hAnsi="Cambria"/>
          <w:sz w:val="22"/>
          <w:szCs w:val="22"/>
        </w:rPr>
        <w:t>il processo di identificazione;</w:t>
      </w:r>
    </w:p>
    <w:p w:rsidR="00E9376C" w:rsidRPr="007574CB" w:rsidRDefault="00E9376C" w:rsidP="00720557">
      <w:pPr>
        <w:pStyle w:val="TestoPallino"/>
        <w:numPr>
          <w:ilvl w:val="0"/>
          <w:numId w:val="32"/>
        </w:numPr>
        <w:tabs>
          <w:tab w:val="clear" w:pos="1211"/>
          <w:tab w:val="num" w:pos="567"/>
        </w:tabs>
        <w:spacing w:line="276" w:lineRule="auto"/>
        <w:ind w:left="567" w:hanging="567"/>
        <w:jc w:val="both"/>
        <w:rPr>
          <w:rFonts w:ascii="Cambria" w:hAnsi="Cambria"/>
          <w:sz w:val="22"/>
          <w:szCs w:val="22"/>
        </w:rPr>
      </w:pPr>
      <w:r w:rsidRPr="007574CB">
        <w:rPr>
          <w:rFonts w:ascii="Cambria" w:hAnsi="Cambria"/>
          <w:sz w:val="22"/>
          <w:szCs w:val="22"/>
        </w:rPr>
        <w:t>le procedure di comunicazione interne ed esterne;</w:t>
      </w:r>
    </w:p>
    <w:p w:rsidR="00E9376C" w:rsidRPr="007574CB" w:rsidRDefault="00E9376C" w:rsidP="00720557">
      <w:pPr>
        <w:pStyle w:val="TestoPallino"/>
        <w:numPr>
          <w:ilvl w:val="0"/>
          <w:numId w:val="32"/>
        </w:numPr>
        <w:tabs>
          <w:tab w:val="clear" w:pos="1211"/>
          <w:tab w:val="num" w:pos="567"/>
        </w:tabs>
        <w:spacing w:line="276" w:lineRule="auto"/>
        <w:ind w:left="567" w:hanging="567"/>
        <w:jc w:val="both"/>
        <w:rPr>
          <w:rFonts w:ascii="Cambria" w:hAnsi="Cambria"/>
          <w:sz w:val="22"/>
          <w:szCs w:val="22"/>
        </w:rPr>
      </w:pPr>
      <w:r w:rsidRPr="007574CB">
        <w:rPr>
          <w:rFonts w:ascii="Cambria" w:hAnsi="Cambria"/>
          <w:sz w:val="22"/>
          <w:szCs w:val="22"/>
        </w:rPr>
        <w:t>i soggetti/gli Organi aziendali coinvolti nonché i ruoli e le responsabilità attribuite a ciascuno di essi in caso di attivazione del piano di emergenza;</w:t>
      </w:r>
    </w:p>
    <w:p w:rsidR="00E9376C" w:rsidRPr="007574CB" w:rsidRDefault="00E9376C" w:rsidP="00720557">
      <w:pPr>
        <w:pStyle w:val="TestoPallino"/>
        <w:numPr>
          <w:ilvl w:val="0"/>
          <w:numId w:val="32"/>
        </w:numPr>
        <w:tabs>
          <w:tab w:val="clear" w:pos="1211"/>
          <w:tab w:val="num" w:pos="567"/>
        </w:tabs>
        <w:spacing w:line="276" w:lineRule="auto"/>
        <w:ind w:left="567" w:hanging="567"/>
        <w:jc w:val="both"/>
        <w:rPr>
          <w:rFonts w:ascii="Cambria" w:hAnsi="Cambria"/>
          <w:sz w:val="22"/>
          <w:szCs w:val="22"/>
        </w:rPr>
      </w:pPr>
      <w:r w:rsidRPr="007574CB">
        <w:rPr>
          <w:rFonts w:ascii="Cambria" w:hAnsi="Cambria"/>
          <w:sz w:val="22"/>
          <w:szCs w:val="22"/>
        </w:rPr>
        <w:t>le potenziali azioni da intraprendere per l’attenuazione del rischio di liquidità;</w:t>
      </w:r>
    </w:p>
    <w:p w:rsidR="00E9376C" w:rsidRPr="007574CB" w:rsidRDefault="00E9376C" w:rsidP="00720557">
      <w:pPr>
        <w:pStyle w:val="TestoPallino"/>
        <w:numPr>
          <w:ilvl w:val="0"/>
          <w:numId w:val="32"/>
        </w:numPr>
        <w:tabs>
          <w:tab w:val="clear" w:pos="1211"/>
          <w:tab w:val="num" w:pos="567"/>
        </w:tabs>
        <w:spacing w:line="276" w:lineRule="auto"/>
        <w:ind w:left="567" w:hanging="567"/>
        <w:jc w:val="both"/>
        <w:rPr>
          <w:rFonts w:ascii="Cambria" w:hAnsi="Cambria"/>
          <w:sz w:val="22"/>
          <w:szCs w:val="22"/>
        </w:rPr>
      </w:pPr>
      <w:r w:rsidRPr="007574CB">
        <w:rPr>
          <w:rFonts w:ascii="Cambria" w:hAnsi="Cambria"/>
          <w:sz w:val="22"/>
          <w:szCs w:val="22"/>
        </w:rPr>
        <w:t>le stime di “</w:t>
      </w:r>
      <w:r w:rsidRPr="007574CB">
        <w:rPr>
          <w:rFonts w:ascii="Cambria" w:hAnsi="Cambria"/>
          <w:i/>
          <w:sz w:val="22"/>
          <w:szCs w:val="22"/>
        </w:rPr>
        <w:t xml:space="preserve">back-up </w:t>
      </w:r>
      <w:proofErr w:type="spellStart"/>
      <w:r w:rsidRPr="007574CB">
        <w:rPr>
          <w:rFonts w:ascii="Cambria" w:hAnsi="Cambria"/>
          <w:i/>
          <w:sz w:val="22"/>
          <w:szCs w:val="22"/>
        </w:rPr>
        <w:t>liquidity</w:t>
      </w:r>
      <w:proofErr w:type="spellEnd"/>
      <w:r w:rsidRPr="007574CB">
        <w:rPr>
          <w:rFonts w:ascii="Cambria" w:hAnsi="Cambria"/>
          <w:sz w:val="22"/>
          <w:szCs w:val="22"/>
        </w:rPr>
        <w:t>” al fine di determinare, in presenza di scenari avversi, con sufficiente attendibilità l’ammontare massimo drenabile dalle diverse fonti di finanziamento.</w:t>
      </w:r>
    </w:p>
    <w:p w:rsidR="00E9376C" w:rsidRPr="00F42CED" w:rsidRDefault="00E9376C" w:rsidP="00720557">
      <w:pPr>
        <w:rPr>
          <w:highlight w:val="green"/>
        </w:rPr>
      </w:pPr>
    </w:p>
    <w:p w:rsidR="00E9376C" w:rsidRDefault="00E9376C" w:rsidP="00720557">
      <w:r w:rsidRPr="00CD3A31">
        <w:t xml:space="preserve">La responsabilità dello sviluppo, aggiornamento e revisione del </w:t>
      </w:r>
      <w:r w:rsidRPr="00CD3A31">
        <w:rPr>
          <w:i/>
        </w:rPr>
        <w:t>Contingency Funding Plan</w:t>
      </w:r>
      <w:r w:rsidRPr="00CD3A31">
        <w:t xml:space="preserve"> è attribuita </w:t>
      </w:r>
      <w:r w:rsidR="00E40816" w:rsidRPr="00CD3A31">
        <w:t>alla Funzione</w:t>
      </w:r>
      <w:r w:rsidRPr="00CD3A31">
        <w:t xml:space="preserve"> Risk Management, il quale è supportato in tale attività dall’Area Amministrazione e Finanza. Il </w:t>
      </w:r>
      <w:r w:rsidRPr="00CD3A31">
        <w:rPr>
          <w:i/>
        </w:rPr>
        <w:t>Contingency Funding Plan</w:t>
      </w:r>
      <w:r w:rsidRPr="00CD3A31">
        <w:t xml:space="preserve"> è approvato dal Consiglio di Amministrazione del Confidi.</w:t>
      </w:r>
    </w:p>
    <w:p w:rsidR="008D29D5" w:rsidRDefault="008D29D5" w:rsidP="00720557"/>
    <w:p w:rsidR="00E9376C" w:rsidRDefault="00E9376C" w:rsidP="00720557">
      <w:r w:rsidRPr="006C081A">
        <w:t xml:space="preserve">Copia aggiornata del piano è disponibile sull’Intranet aziendale la cui visibilità è riservata </w:t>
      </w:r>
      <w:r w:rsidR="00F42CED" w:rsidRPr="006C081A">
        <w:t xml:space="preserve">alla Direzione </w:t>
      </w:r>
      <w:r w:rsidRPr="006C081A">
        <w:t>e ai Responsabili delle Aree aziendali.</w:t>
      </w:r>
    </w:p>
    <w:p w:rsidR="00E9376C" w:rsidRDefault="00E9376C" w:rsidP="00720557"/>
    <w:p w:rsidR="00E9376C" w:rsidRPr="006E47F4" w:rsidRDefault="00E9376C" w:rsidP="00E40816">
      <w:pPr>
        <w:pStyle w:val="Titolo1"/>
        <w:numPr>
          <w:ilvl w:val="0"/>
          <w:numId w:val="31"/>
        </w:numPr>
      </w:pPr>
      <w:bookmarkStart w:id="5" w:name="_Toc300303609"/>
      <w:bookmarkStart w:id="6" w:name="_Toc305066054"/>
      <w:bookmarkStart w:id="7" w:name="_Toc316654610"/>
      <w:bookmarkStart w:id="8" w:name="_Toc453712268"/>
      <w:r w:rsidRPr="006E47F4">
        <w:t>Gli scenari operativi</w:t>
      </w:r>
      <w:bookmarkEnd w:id="5"/>
      <w:bookmarkEnd w:id="6"/>
      <w:bookmarkEnd w:id="7"/>
      <w:bookmarkEnd w:id="8"/>
    </w:p>
    <w:p w:rsidR="00E9376C" w:rsidRPr="006E47F4" w:rsidRDefault="00E9376C" w:rsidP="00720557">
      <w:pPr>
        <w:rPr>
          <w:szCs w:val="20"/>
        </w:rPr>
      </w:pPr>
      <w:r w:rsidRPr="00C62DC0">
        <w:rPr>
          <w:szCs w:val="20"/>
        </w:rPr>
        <w:t>In ragione del deterioramento della posizione di liquidità del Confidi sono definiti due alternativi scenari operativi di riferimento: “normale corso degli affari”; “crisi”.</w:t>
      </w:r>
    </w:p>
    <w:p w:rsidR="00E9376C" w:rsidRDefault="00E9376C" w:rsidP="00720557">
      <w:r w:rsidRPr="00C62DC0">
        <w:t>In particolare, lo stato di “crisi” può a sua volta essere ulteriormente differenziato in relazione alle cause che lo hanno determinato, distinguendo quelle di natura sistemica da quelle di natura idiosincratica. In particolare, le tensioni di liquidità di natura:</w:t>
      </w:r>
    </w:p>
    <w:p w:rsidR="00E9376C" w:rsidRPr="00C62DC0" w:rsidRDefault="00E9376C" w:rsidP="00720557">
      <w:pPr>
        <w:pStyle w:val="Sommario7"/>
        <w:numPr>
          <w:ilvl w:val="0"/>
          <w:numId w:val="33"/>
        </w:numPr>
        <w:tabs>
          <w:tab w:val="right" w:pos="9355"/>
        </w:tabs>
        <w:ind w:left="567" w:hanging="567"/>
        <w:jc w:val="both"/>
        <w:rPr>
          <w:rFonts w:ascii="Cambria" w:hAnsi="Cambria"/>
          <w:sz w:val="22"/>
          <w:szCs w:val="22"/>
        </w:rPr>
      </w:pPr>
      <w:r w:rsidRPr="00C62DC0">
        <w:rPr>
          <w:rFonts w:ascii="Cambria" w:hAnsi="Cambria"/>
          <w:b/>
          <w:sz w:val="22"/>
          <w:szCs w:val="22"/>
        </w:rPr>
        <w:t>idiosincratica</w:t>
      </w:r>
      <w:r w:rsidRPr="00C62DC0">
        <w:rPr>
          <w:rFonts w:ascii="Cambria" w:hAnsi="Cambria"/>
          <w:sz w:val="22"/>
          <w:szCs w:val="22"/>
        </w:rPr>
        <w:t xml:space="preserve"> sono riconducibili a cause specificatamente imputabili al Confidi. In tale ambito, rientrano, ad esempio, eventi quali l’incremento dell’esposizione a rischi operativi e/o reputazionali, il default di controparti verso le quali il Confidi è esposto in misura rilevante</w:t>
      </w:r>
      <w:r w:rsidR="0077608E" w:rsidRPr="00C62DC0">
        <w:rPr>
          <w:rFonts w:ascii="Cambria" w:hAnsi="Cambria"/>
          <w:sz w:val="22"/>
          <w:szCs w:val="22"/>
        </w:rPr>
        <w:t xml:space="preserve"> (i.e. Imprese, Istituti di Credito, Stati)</w:t>
      </w:r>
      <w:r w:rsidRPr="00C62DC0">
        <w:rPr>
          <w:rFonts w:ascii="Cambria" w:hAnsi="Cambria"/>
          <w:sz w:val="22"/>
          <w:szCs w:val="22"/>
        </w:rPr>
        <w:t>;</w:t>
      </w:r>
    </w:p>
    <w:p w:rsidR="00E9376C" w:rsidRPr="00C62DC0" w:rsidRDefault="00E9376C" w:rsidP="00720557">
      <w:pPr>
        <w:pStyle w:val="Sommario7"/>
        <w:numPr>
          <w:ilvl w:val="0"/>
          <w:numId w:val="33"/>
        </w:numPr>
        <w:tabs>
          <w:tab w:val="right" w:pos="9355"/>
        </w:tabs>
        <w:ind w:left="567" w:hanging="567"/>
        <w:jc w:val="both"/>
        <w:rPr>
          <w:rFonts w:ascii="Cambria" w:hAnsi="Cambria"/>
          <w:sz w:val="22"/>
          <w:szCs w:val="22"/>
        </w:rPr>
      </w:pPr>
      <w:r w:rsidRPr="00C62DC0">
        <w:rPr>
          <w:rFonts w:ascii="Cambria" w:hAnsi="Cambria"/>
          <w:b/>
          <w:sz w:val="22"/>
          <w:szCs w:val="22"/>
        </w:rPr>
        <w:t>sistemica</w:t>
      </w:r>
      <w:r w:rsidRPr="00C62DC0">
        <w:rPr>
          <w:rFonts w:ascii="Cambria" w:hAnsi="Cambria"/>
          <w:sz w:val="22"/>
          <w:szCs w:val="22"/>
        </w:rPr>
        <w:t xml:space="preserve"> sono connesse all’instabilità dei mercati monetari e finanziari provocata, ad esempio, dal deterioramento del quadro politico nazionale e/o macroeconomico, dalla persistenza di una condizione di </w:t>
      </w:r>
      <w:r w:rsidRPr="00C62DC0">
        <w:rPr>
          <w:rFonts w:ascii="Cambria" w:hAnsi="Cambria"/>
          <w:i/>
          <w:sz w:val="22"/>
          <w:szCs w:val="22"/>
        </w:rPr>
        <w:t>credit crunch</w:t>
      </w:r>
      <w:r w:rsidRPr="00C62DC0">
        <w:rPr>
          <w:rFonts w:ascii="Cambria" w:hAnsi="Cambria"/>
          <w:sz w:val="22"/>
          <w:szCs w:val="22"/>
        </w:rPr>
        <w:t>, dal timore di un effetto contagio connesso al default di un</w:t>
      </w:r>
      <w:r w:rsidR="00005B50" w:rsidRPr="00C62DC0">
        <w:rPr>
          <w:rFonts w:ascii="Cambria" w:hAnsi="Cambria"/>
          <w:sz w:val="22"/>
          <w:szCs w:val="22"/>
        </w:rPr>
        <w:t>a</w:t>
      </w:r>
      <w:r w:rsidRPr="00C62DC0">
        <w:rPr>
          <w:rFonts w:ascii="Cambria" w:hAnsi="Cambria"/>
          <w:sz w:val="22"/>
          <w:szCs w:val="22"/>
        </w:rPr>
        <w:t xml:space="preserve"> </w:t>
      </w:r>
      <w:r w:rsidRPr="00C62DC0">
        <w:rPr>
          <w:rFonts w:ascii="Cambria" w:hAnsi="Cambria"/>
          <w:sz w:val="22"/>
          <w:szCs w:val="22"/>
        </w:rPr>
        <w:lastRenderedPageBreak/>
        <w:t>istituzione finanziaria sistemicamente rilevante nonché da specifici eventi quali, ad esempio, l’attacco terroristico dell’11 settembre 2001.</w:t>
      </w:r>
    </w:p>
    <w:p w:rsidR="00E9376C" w:rsidRPr="00DB15FB" w:rsidRDefault="00E9376C" w:rsidP="00720557">
      <w:pPr>
        <w:rPr>
          <w:szCs w:val="20"/>
        </w:rPr>
      </w:pPr>
    </w:p>
    <w:p w:rsidR="00E9376C" w:rsidRDefault="00E9376C" w:rsidP="00720557">
      <w:r w:rsidRPr="00C62DC0">
        <w:rPr>
          <w:szCs w:val="20"/>
        </w:rPr>
        <w:t>Gli interventi che il management è tenuto a intraprendere al fine di fronteggiare una condizione avversa nel reperimento di fondi tengono in considerazione l’intensità, la tipologia</w:t>
      </w:r>
      <w:r w:rsidRPr="00C62DC0">
        <w:t xml:space="preserve"> ed il permanere della tensione.</w:t>
      </w:r>
    </w:p>
    <w:p w:rsidR="00E9376C" w:rsidRPr="00DF0B9B" w:rsidRDefault="00E9376C" w:rsidP="00720557"/>
    <w:p w:rsidR="00E9376C" w:rsidRPr="00890CBB" w:rsidRDefault="00E9376C" w:rsidP="00E40816">
      <w:pPr>
        <w:pStyle w:val="Titolo1"/>
        <w:numPr>
          <w:ilvl w:val="0"/>
          <w:numId w:val="31"/>
        </w:numPr>
      </w:pPr>
      <w:bookmarkStart w:id="9" w:name="_Toc300303610"/>
      <w:bookmarkStart w:id="10" w:name="_Toc305066055"/>
      <w:bookmarkStart w:id="11" w:name="_Toc316654611"/>
      <w:bookmarkStart w:id="12" w:name="_Toc453712269"/>
      <w:r w:rsidRPr="00890CBB">
        <w:t>La qualificazione dei contesti operativi di riferimento</w:t>
      </w:r>
      <w:bookmarkEnd w:id="9"/>
      <w:bookmarkEnd w:id="10"/>
      <w:bookmarkEnd w:id="11"/>
      <w:bookmarkEnd w:id="12"/>
    </w:p>
    <w:p w:rsidR="00E9376C" w:rsidRPr="00890CBB" w:rsidRDefault="00E9376C" w:rsidP="00720557">
      <w:pPr>
        <w:rPr>
          <w:szCs w:val="20"/>
        </w:rPr>
      </w:pPr>
      <w:r w:rsidRPr="00227D14">
        <w:rPr>
          <w:szCs w:val="20"/>
        </w:rPr>
        <w:t>La qualificazione dello scenario operativo in cui si trova ad operare il Confidi è effettuata sulla base:</w:t>
      </w:r>
    </w:p>
    <w:p w:rsidR="00426DAC" w:rsidRPr="00227D14" w:rsidRDefault="00E9376C" w:rsidP="00720557">
      <w:pPr>
        <w:pStyle w:val="Paragrafoelenco"/>
        <w:numPr>
          <w:ilvl w:val="0"/>
          <w:numId w:val="34"/>
        </w:numPr>
        <w:rPr>
          <w:szCs w:val="20"/>
        </w:rPr>
      </w:pPr>
      <w:r w:rsidRPr="00227D14">
        <w:rPr>
          <w:szCs w:val="20"/>
        </w:rPr>
        <w:t>degli esiti delle misurazioni dell’esposizione al rischio di liquidità in una condizione di normale corso degli affari ed in ipotesi di stress e</w:t>
      </w:r>
      <w:r w:rsidR="00FC3B41" w:rsidRPr="00227D14">
        <w:rPr>
          <w:szCs w:val="20"/>
        </w:rPr>
        <w:t>, nell’ambito</w:t>
      </w:r>
      <w:r w:rsidR="00CC4956" w:rsidRPr="00227D14">
        <w:rPr>
          <w:szCs w:val="20"/>
        </w:rPr>
        <w:t xml:space="preserve"> del processo della propensione al rischio</w:t>
      </w:r>
      <w:r w:rsidR="00466283" w:rsidRPr="00227D14">
        <w:rPr>
          <w:szCs w:val="20"/>
        </w:rPr>
        <w:t xml:space="preserve"> definita dal Confidi</w:t>
      </w:r>
      <w:r w:rsidR="00CC4956" w:rsidRPr="00227D14">
        <w:rPr>
          <w:szCs w:val="20"/>
        </w:rPr>
        <w:t>,</w:t>
      </w:r>
      <w:r w:rsidRPr="00227D14">
        <w:rPr>
          <w:szCs w:val="20"/>
        </w:rPr>
        <w:t xml:space="preserve"> della verifica del rispetto dei limiti operativi e delle soglie di tolleranza</w:t>
      </w:r>
      <w:r w:rsidR="00A22016" w:rsidRPr="00227D14">
        <w:rPr>
          <w:szCs w:val="20"/>
        </w:rPr>
        <w:t xml:space="preserve"> (</w:t>
      </w:r>
      <w:r w:rsidR="003C4649" w:rsidRPr="00227D14">
        <w:rPr>
          <w:szCs w:val="20"/>
        </w:rPr>
        <w:t xml:space="preserve">c.d. </w:t>
      </w:r>
      <w:r w:rsidR="00FC3B41" w:rsidRPr="00227D14">
        <w:rPr>
          <w:szCs w:val="20"/>
        </w:rPr>
        <w:t xml:space="preserve">sistema di </w:t>
      </w:r>
      <w:proofErr w:type="spellStart"/>
      <w:r w:rsidR="00A22016" w:rsidRPr="00227D14">
        <w:rPr>
          <w:i/>
          <w:szCs w:val="20"/>
        </w:rPr>
        <w:t>early</w:t>
      </w:r>
      <w:proofErr w:type="spellEnd"/>
      <w:r w:rsidR="00A22016" w:rsidRPr="00227D14">
        <w:rPr>
          <w:i/>
          <w:szCs w:val="20"/>
        </w:rPr>
        <w:t xml:space="preserve"> </w:t>
      </w:r>
      <w:proofErr w:type="spellStart"/>
      <w:r w:rsidR="00A22016" w:rsidRPr="00227D14">
        <w:rPr>
          <w:i/>
          <w:szCs w:val="20"/>
        </w:rPr>
        <w:t>w</w:t>
      </w:r>
      <w:r w:rsidR="003C4649" w:rsidRPr="00227D14">
        <w:rPr>
          <w:i/>
          <w:szCs w:val="20"/>
        </w:rPr>
        <w:t>arning</w:t>
      </w:r>
      <w:proofErr w:type="spellEnd"/>
      <w:r w:rsidR="00A22016" w:rsidRPr="00227D14">
        <w:rPr>
          <w:szCs w:val="20"/>
        </w:rPr>
        <w:t>)</w:t>
      </w:r>
      <w:r w:rsidRPr="00227D14">
        <w:rPr>
          <w:szCs w:val="20"/>
        </w:rPr>
        <w:t>;</w:t>
      </w:r>
      <w:r w:rsidR="00145AE1" w:rsidRPr="00227D14">
        <w:rPr>
          <w:szCs w:val="20"/>
        </w:rPr>
        <w:t xml:space="preserve"> </w:t>
      </w:r>
    </w:p>
    <w:p w:rsidR="00E9376C" w:rsidRPr="00227D14" w:rsidRDefault="00426DAC" w:rsidP="00720557">
      <w:pPr>
        <w:pStyle w:val="Paragrafoelenco"/>
        <w:numPr>
          <w:ilvl w:val="0"/>
          <w:numId w:val="34"/>
        </w:numPr>
        <w:rPr>
          <w:szCs w:val="20"/>
        </w:rPr>
      </w:pPr>
      <w:r w:rsidRPr="00227D14">
        <w:rPr>
          <w:szCs w:val="20"/>
        </w:rPr>
        <w:t>di specifici eventi che coinvolgono controparti con riferimento alle quali il Confidi presenta una posizione attiva o passiva e che possono incidere sulla posizione di liquidità</w:t>
      </w:r>
      <w:r w:rsidR="00E9376C" w:rsidRPr="00227D14">
        <w:rPr>
          <w:szCs w:val="20"/>
        </w:rPr>
        <w:t xml:space="preserve"> </w:t>
      </w:r>
    </w:p>
    <w:p w:rsidR="00E9376C" w:rsidRPr="00227D14" w:rsidRDefault="00E9376C" w:rsidP="00720557">
      <w:pPr>
        <w:pStyle w:val="Paragrafoelenco"/>
        <w:numPr>
          <w:ilvl w:val="0"/>
          <w:numId w:val="34"/>
        </w:numPr>
        <w:rPr>
          <w:szCs w:val="20"/>
        </w:rPr>
      </w:pPr>
      <w:r w:rsidRPr="00227D14">
        <w:rPr>
          <w:szCs w:val="20"/>
        </w:rPr>
        <w:t>di specifici shock di natura sistemica capaci di pregiudicare la stabilità dei mercati;</w:t>
      </w:r>
    </w:p>
    <w:p w:rsidR="00E9376C" w:rsidRPr="00227D14" w:rsidRDefault="00E9376C" w:rsidP="00720557">
      <w:pPr>
        <w:pStyle w:val="Paragrafoelenco"/>
        <w:numPr>
          <w:ilvl w:val="0"/>
          <w:numId w:val="34"/>
        </w:numPr>
        <w:rPr>
          <w:szCs w:val="20"/>
        </w:rPr>
      </w:pPr>
      <w:r w:rsidRPr="00227D14">
        <w:rPr>
          <w:szCs w:val="20"/>
        </w:rPr>
        <w:t xml:space="preserve">di specifici eventi connessi al verificarsi di rischi operativi e di natura reputazionale che determinino una perdita di fiducia da parte dei mercati e </w:t>
      </w:r>
      <w:r w:rsidR="00426DAC" w:rsidRPr="00227D14">
        <w:rPr>
          <w:szCs w:val="20"/>
        </w:rPr>
        <w:t>delle controparti con cui opera il Confidi.</w:t>
      </w:r>
      <w:r w:rsidRPr="00227D14">
        <w:rPr>
          <w:szCs w:val="20"/>
        </w:rPr>
        <w:t xml:space="preserve"> </w:t>
      </w:r>
    </w:p>
    <w:p w:rsidR="00E9376C" w:rsidRPr="00890CBB" w:rsidRDefault="00E9376C" w:rsidP="00720557">
      <w:pPr>
        <w:rPr>
          <w:szCs w:val="20"/>
        </w:rPr>
      </w:pPr>
    </w:p>
    <w:p w:rsidR="00E9376C" w:rsidRDefault="00E9376C" w:rsidP="00720557">
      <w:r w:rsidRPr="00227D14">
        <w:rPr>
          <w:szCs w:val="20"/>
        </w:rPr>
        <w:t>Ai fini dell’analisi del contesto operativo di riferimento i risultati del monitoraggio dei limiti operativi e delle soglie di tolleranza, sono utilizzati in maniera oggettiva in funzione del livello assunto da ciascun indicatore e</w:t>
      </w:r>
      <w:r w:rsidRPr="00227D14">
        <w:t xml:space="preserve"> della persistenza dello stesso.</w:t>
      </w:r>
      <w:r>
        <w:t xml:space="preserve"> </w:t>
      </w:r>
    </w:p>
    <w:p w:rsidR="00E9376C" w:rsidRDefault="00E9376C" w:rsidP="00720557">
      <w:pPr>
        <w:rPr>
          <w:rFonts w:cs="Arial"/>
          <w:szCs w:val="20"/>
        </w:rPr>
      </w:pPr>
      <w:r w:rsidRPr="00227D14">
        <w:rPr>
          <w:rFonts w:cs="Arial"/>
          <w:szCs w:val="20"/>
        </w:rPr>
        <w:t xml:space="preserve">La violazione delle soglie di tolleranza qualifica in ogni caso una condizione di “crisi”. In tale circostanza, </w:t>
      </w:r>
      <w:r w:rsidR="00DD3B0C" w:rsidRPr="00227D14">
        <w:rPr>
          <w:rFonts w:cs="Arial"/>
          <w:szCs w:val="20"/>
        </w:rPr>
        <w:t>l’Amministratore Delegato</w:t>
      </w:r>
      <w:r w:rsidRPr="00227D14">
        <w:t xml:space="preserve"> dichiara lo stato di “crisi” dandone comunicazione al Consiglio di Amministrazione.</w:t>
      </w:r>
    </w:p>
    <w:p w:rsidR="00E9376C" w:rsidRDefault="00E9376C" w:rsidP="00720557">
      <w:r w:rsidRPr="00227D14">
        <w:t xml:space="preserve">Nel caso in cui </w:t>
      </w:r>
      <w:r w:rsidR="00760484" w:rsidRPr="00227D14">
        <w:t>i</w:t>
      </w:r>
      <w:r w:rsidRPr="00227D14">
        <w:t xml:space="preserve"> limiti operativi </w:t>
      </w:r>
      <w:r w:rsidR="00760484" w:rsidRPr="00227D14">
        <w:t xml:space="preserve">(o eventuali altri indicatori) </w:t>
      </w:r>
      <w:r w:rsidRPr="00227D14">
        <w:t>evidenzino segnali di tensione</w:t>
      </w:r>
      <w:r w:rsidR="000A7664" w:rsidRPr="00227D14">
        <w:t xml:space="preserve"> (i.e. </w:t>
      </w:r>
      <w:r w:rsidR="00745D98" w:rsidRPr="00227D14">
        <w:t xml:space="preserve">superamento della soglia di </w:t>
      </w:r>
      <w:proofErr w:type="spellStart"/>
      <w:r w:rsidR="00745D98" w:rsidRPr="00227D14">
        <w:rPr>
          <w:i/>
        </w:rPr>
        <w:t>alert</w:t>
      </w:r>
      <w:proofErr w:type="spellEnd"/>
      <w:r w:rsidR="00745D98" w:rsidRPr="00227D14">
        <w:t xml:space="preserve"> stabilita)</w:t>
      </w:r>
      <w:r w:rsidRPr="00227D14">
        <w:t xml:space="preserve">, il Responsabile </w:t>
      </w:r>
      <w:r w:rsidR="00E40816" w:rsidRPr="00227D14">
        <w:t>della Funzione</w:t>
      </w:r>
      <w:r w:rsidR="00760484" w:rsidRPr="00227D14">
        <w:t xml:space="preserve"> Risk Management, </w:t>
      </w:r>
      <w:r w:rsidRPr="00227D14">
        <w:t>previo</w:t>
      </w:r>
      <w:r w:rsidRPr="000F0C4D">
        <w:rPr>
          <w:highlight w:val="green"/>
        </w:rPr>
        <w:t xml:space="preserve"> </w:t>
      </w:r>
      <w:r w:rsidRPr="00227D14">
        <w:t xml:space="preserve">confronto con il </w:t>
      </w:r>
      <w:r w:rsidR="00760484" w:rsidRPr="00227D14">
        <w:t>Responsabile dell’Area Amministrazione e Finanza</w:t>
      </w:r>
      <w:r w:rsidR="000A7664" w:rsidRPr="00227D14">
        <w:t xml:space="preserve"> </w:t>
      </w:r>
      <w:r w:rsidR="00582357" w:rsidRPr="00227D14">
        <w:t>(</w:t>
      </w:r>
      <w:r w:rsidR="000A7664" w:rsidRPr="00227D14">
        <w:t>in merito all</w:t>
      </w:r>
      <w:r w:rsidR="00582357" w:rsidRPr="00227D14">
        <w:t>’analisi delle</w:t>
      </w:r>
      <w:r w:rsidR="000A7664" w:rsidRPr="00227D14">
        <w:t xml:space="preserve"> cause</w:t>
      </w:r>
      <w:r w:rsidR="00582357" w:rsidRPr="00227D14">
        <w:t xml:space="preserve"> </w:t>
      </w:r>
      <w:r w:rsidR="000A7664" w:rsidRPr="00227D14">
        <w:t>e</w:t>
      </w:r>
      <w:r w:rsidR="000630C2" w:rsidRPr="00227D14">
        <w:t>d alla verifica della natura temporanea o meno</w:t>
      </w:r>
      <w:r w:rsidR="00582357" w:rsidRPr="00227D14">
        <w:t>)</w:t>
      </w:r>
      <w:r w:rsidRPr="00227D14">
        <w:t xml:space="preserve">, valuta se sottoporre </w:t>
      </w:r>
      <w:r w:rsidR="00DD3B0C" w:rsidRPr="00227D14">
        <w:t>all’Amministratore Delegato</w:t>
      </w:r>
      <w:r w:rsidRPr="00227D14">
        <w:t xml:space="preserve"> la richiesta di dichiarazione dello stato di “crisi”.</w:t>
      </w:r>
      <w:r w:rsidR="00841928" w:rsidRPr="00227D14">
        <w:t xml:space="preserve"> </w:t>
      </w:r>
      <w:r w:rsidRPr="00227D14">
        <w:t xml:space="preserve">A seguito della suddetta richiesta esplicita formulata, </w:t>
      </w:r>
      <w:r w:rsidR="00DD3B0C" w:rsidRPr="00227D14">
        <w:t>l’Amministratore Delegato</w:t>
      </w:r>
      <w:r w:rsidRPr="00227D14">
        <w:t xml:space="preserve"> valuta e formalizza se dichiarare alternativamente lo stato di “crisi” ovvero il permanere di una condizione d</w:t>
      </w:r>
      <w:r w:rsidR="00760484" w:rsidRPr="00227D14">
        <w:t>i “normale corso degli affari”.</w:t>
      </w:r>
    </w:p>
    <w:p w:rsidR="00E9376C" w:rsidRPr="00890CBB" w:rsidRDefault="00E9376C" w:rsidP="00720557">
      <w:pPr>
        <w:pStyle w:val="Titolo2"/>
        <w:numPr>
          <w:ilvl w:val="1"/>
          <w:numId w:val="31"/>
        </w:numPr>
        <w:tabs>
          <w:tab w:val="clear" w:pos="4820"/>
        </w:tabs>
        <w:spacing w:before="480" w:after="240"/>
        <w:ind w:hanging="567"/>
      </w:pPr>
      <w:bookmarkStart w:id="13" w:name="_Toc300303613"/>
      <w:bookmarkStart w:id="14" w:name="_Toc305066058"/>
      <w:bookmarkStart w:id="15" w:name="_Toc316654612"/>
      <w:bookmarkStart w:id="16" w:name="_Toc453712270"/>
      <w:r w:rsidRPr="00890CBB">
        <w:t xml:space="preserve">La gestione di una condizione di </w:t>
      </w:r>
      <w:r>
        <w:t>“</w:t>
      </w:r>
      <w:r w:rsidRPr="00890CBB">
        <w:t>crisi</w:t>
      </w:r>
      <w:bookmarkEnd w:id="13"/>
      <w:bookmarkEnd w:id="14"/>
      <w:r>
        <w:t>”</w:t>
      </w:r>
      <w:bookmarkEnd w:id="15"/>
      <w:bookmarkEnd w:id="16"/>
    </w:p>
    <w:p w:rsidR="00E9376C" w:rsidRDefault="00E9376C" w:rsidP="00720557">
      <w:pPr>
        <w:rPr>
          <w:sz w:val="23"/>
          <w:szCs w:val="23"/>
        </w:rPr>
      </w:pPr>
      <w:r w:rsidRPr="00874CAE">
        <w:t xml:space="preserve">A seguito </w:t>
      </w:r>
      <w:r w:rsidRPr="00BF3392">
        <w:t>della dichiarazione dello stato di “crisi” da parte del</w:t>
      </w:r>
      <w:r w:rsidR="00DD3B0C" w:rsidRPr="00BF3392">
        <w:t>l’Amministratore Delegato</w:t>
      </w:r>
      <w:r w:rsidRPr="00BF3392">
        <w:t xml:space="preserve">, </w:t>
      </w:r>
      <w:r w:rsidRPr="00BF3392">
        <w:rPr>
          <w:szCs w:val="20"/>
        </w:rPr>
        <w:t>per il tramite dell</w:t>
      </w:r>
      <w:r w:rsidR="0056022A" w:rsidRPr="00BF3392">
        <w:rPr>
          <w:szCs w:val="20"/>
        </w:rPr>
        <w:t>’Ufficio Affari Generali</w:t>
      </w:r>
      <w:r w:rsidRPr="00BF3392">
        <w:rPr>
          <w:szCs w:val="20"/>
        </w:rPr>
        <w:t>, è convocato di urgenza</w:t>
      </w:r>
      <w:r w:rsidR="0056022A" w:rsidRPr="00BF3392">
        <w:rPr>
          <w:szCs w:val="20"/>
        </w:rPr>
        <w:t xml:space="preserve"> uno specifico Comitato</w:t>
      </w:r>
      <w:r w:rsidR="0056022A" w:rsidRPr="00BF3392">
        <w:rPr>
          <w:rStyle w:val="Rimandonotaapidipagina"/>
          <w:szCs w:val="20"/>
          <w:vertAlign w:val="superscript"/>
        </w:rPr>
        <w:footnoteReference w:id="1"/>
      </w:r>
      <w:r w:rsidR="006554BC" w:rsidRPr="00BF3392">
        <w:rPr>
          <w:szCs w:val="20"/>
        </w:rPr>
        <w:t xml:space="preserve"> e ne viene data tempestiva informazione al Consiglio di Amministrazione.</w:t>
      </w:r>
      <w:r w:rsidRPr="00BF3392">
        <w:rPr>
          <w:szCs w:val="20"/>
        </w:rPr>
        <w:t xml:space="preserve"> A</w:t>
      </w:r>
      <w:r w:rsidRPr="00474687">
        <w:rPr>
          <w:szCs w:val="20"/>
        </w:rPr>
        <w:t xml:space="preserve"> ciascun membro del suddetto Comitato è fornita una specifica informativa a mezzo posta elettronica.</w:t>
      </w:r>
    </w:p>
    <w:p w:rsidR="00E9376C" w:rsidRDefault="00E9376C" w:rsidP="00720557">
      <w:r w:rsidRPr="00474687">
        <w:lastRenderedPageBreak/>
        <w:t>Nella gestione della situazione di “crisi” possono essere coinvolti, su richiesta del</w:t>
      </w:r>
      <w:r w:rsidR="00DD3B0C" w:rsidRPr="00474687">
        <w:t>l’Amministratore Delegato</w:t>
      </w:r>
      <w:r w:rsidRPr="00474687">
        <w:t>, anche i Responsabili di altre funzioni aziendali tenuto conto della natura e delle cause della tensione in corso.</w:t>
      </w:r>
      <w:r>
        <w:t xml:space="preserve"> </w:t>
      </w:r>
    </w:p>
    <w:p w:rsidR="00E9376C" w:rsidRPr="00474687" w:rsidRDefault="00E9376C" w:rsidP="00720557">
      <w:pPr>
        <w:rPr>
          <w:szCs w:val="20"/>
        </w:rPr>
      </w:pPr>
      <w:r w:rsidRPr="00474687">
        <w:rPr>
          <w:szCs w:val="20"/>
        </w:rPr>
        <w:t>Al Comitato, in tale contesto convocato, sono attribuite le seguenti responsabilità:</w:t>
      </w:r>
    </w:p>
    <w:p w:rsidR="00E9376C" w:rsidRPr="00474687" w:rsidRDefault="00E9376C" w:rsidP="00720557">
      <w:pPr>
        <w:pStyle w:val="Sommario7"/>
        <w:numPr>
          <w:ilvl w:val="0"/>
          <w:numId w:val="35"/>
        </w:numPr>
        <w:tabs>
          <w:tab w:val="right" w:pos="9355"/>
        </w:tabs>
        <w:jc w:val="both"/>
        <w:rPr>
          <w:rFonts w:ascii="Cambria" w:hAnsi="Cambria"/>
          <w:sz w:val="22"/>
          <w:szCs w:val="22"/>
        </w:rPr>
      </w:pPr>
      <w:r w:rsidRPr="00474687">
        <w:rPr>
          <w:rFonts w:ascii="Cambria" w:hAnsi="Cambria"/>
          <w:sz w:val="22"/>
          <w:szCs w:val="22"/>
        </w:rPr>
        <w:t>analizzare la tipologia della crisi e le cause che l’hanno determinata;</w:t>
      </w:r>
    </w:p>
    <w:p w:rsidR="00E9376C" w:rsidRPr="00474687" w:rsidRDefault="00E9376C" w:rsidP="00720557">
      <w:pPr>
        <w:pStyle w:val="Sommario7"/>
        <w:numPr>
          <w:ilvl w:val="0"/>
          <w:numId w:val="35"/>
        </w:numPr>
        <w:tabs>
          <w:tab w:val="right" w:pos="9355"/>
        </w:tabs>
        <w:jc w:val="both"/>
        <w:rPr>
          <w:rFonts w:ascii="Cambria" w:hAnsi="Cambria"/>
          <w:sz w:val="22"/>
          <w:szCs w:val="22"/>
        </w:rPr>
      </w:pPr>
      <w:r w:rsidRPr="00474687">
        <w:rPr>
          <w:rFonts w:ascii="Cambria" w:hAnsi="Cambria"/>
          <w:sz w:val="22"/>
          <w:szCs w:val="22"/>
        </w:rPr>
        <w:t xml:space="preserve">esaminare la posizione di liquidità </w:t>
      </w:r>
      <w:r w:rsidR="00760484" w:rsidRPr="00474687">
        <w:rPr>
          <w:rFonts w:ascii="Cambria" w:hAnsi="Cambria"/>
          <w:sz w:val="22"/>
          <w:szCs w:val="22"/>
        </w:rPr>
        <w:t>del</w:t>
      </w:r>
      <w:r w:rsidRPr="00474687">
        <w:rPr>
          <w:rFonts w:ascii="Cambria" w:hAnsi="Cambria"/>
          <w:sz w:val="22"/>
          <w:szCs w:val="22"/>
        </w:rPr>
        <w:t xml:space="preserve"> </w:t>
      </w:r>
      <w:r w:rsidR="00760484" w:rsidRPr="00474687">
        <w:rPr>
          <w:rFonts w:ascii="Cambria" w:hAnsi="Cambria"/>
          <w:sz w:val="22"/>
          <w:szCs w:val="22"/>
        </w:rPr>
        <w:t>Confidi</w:t>
      </w:r>
      <w:r w:rsidRPr="00474687">
        <w:rPr>
          <w:rFonts w:ascii="Cambria" w:hAnsi="Cambria"/>
          <w:sz w:val="22"/>
          <w:szCs w:val="22"/>
        </w:rPr>
        <w:t xml:space="preserve"> alla data;</w:t>
      </w:r>
    </w:p>
    <w:p w:rsidR="00E9376C" w:rsidRPr="00474687" w:rsidRDefault="00E9376C" w:rsidP="00720557">
      <w:pPr>
        <w:pStyle w:val="Sommario7"/>
        <w:numPr>
          <w:ilvl w:val="0"/>
          <w:numId w:val="35"/>
        </w:numPr>
        <w:tabs>
          <w:tab w:val="right" w:pos="9355"/>
        </w:tabs>
        <w:jc w:val="both"/>
        <w:rPr>
          <w:rFonts w:ascii="Cambria" w:hAnsi="Cambria"/>
          <w:sz w:val="22"/>
          <w:szCs w:val="22"/>
        </w:rPr>
      </w:pPr>
      <w:r w:rsidRPr="00474687">
        <w:rPr>
          <w:rFonts w:ascii="Cambria" w:hAnsi="Cambria"/>
          <w:sz w:val="22"/>
          <w:szCs w:val="22"/>
        </w:rPr>
        <w:t>individuare la strategia di intervento quantificando, ove possibile, i costi della medesima;</w:t>
      </w:r>
    </w:p>
    <w:p w:rsidR="00E9376C" w:rsidRPr="00474687" w:rsidRDefault="00E9376C" w:rsidP="00720557">
      <w:pPr>
        <w:pStyle w:val="Sommario7"/>
        <w:numPr>
          <w:ilvl w:val="0"/>
          <w:numId w:val="35"/>
        </w:numPr>
        <w:tabs>
          <w:tab w:val="right" w:pos="9355"/>
        </w:tabs>
        <w:jc w:val="both"/>
        <w:rPr>
          <w:rFonts w:ascii="Cambria" w:hAnsi="Cambria"/>
          <w:sz w:val="22"/>
          <w:szCs w:val="22"/>
        </w:rPr>
      </w:pPr>
      <w:r w:rsidRPr="00474687">
        <w:rPr>
          <w:rFonts w:ascii="Cambria" w:hAnsi="Cambria"/>
          <w:sz w:val="22"/>
          <w:szCs w:val="22"/>
        </w:rPr>
        <w:t>coordinare la comunicazione interna verso le funzioni aziendali coinvolte nella gestione della situazione di tensione nonché verso le funzioni operative cui compete l’esecuzione delle azioni;</w:t>
      </w:r>
    </w:p>
    <w:p w:rsidR="00E9376C" w:rsidRPr="00474687" w:rsidRDefault="00E9376C" w:rsidP="00720557">
      <w:pPr>
        <w:pStyle w:val="Sommario7"/>
        <w:numPr>
          <w:ilvl w:val="0"/>
          <w:numId w:val="35"/>
        </w:numPr>
        <w:tabs>
          <w:tab w:val="right" w:pos="9355"/>
        </w:tabs>
        <w:jc w:val="both"/>
        <w:rPr>
          <w:rFonts w:ascii="Cambria" w:hAnsi="Cambria"/>
          <w:sz w:val="22"/>
          <w:szCs w:val="22"/>
        </w:rPr>
      </w:pPr>
      <w:r w:rsidRPr="00474687">
        <w:rPr>
          <w:rFonts w:ascii="Cambria" w:hAnsi="Cambria"/>
          <w:sz w:val="22"/>
          <w:szCs w:val="22"/>
        </w:rPr>
        <w:t>coordinare l’eventuale comunicazione verso l’esterno (Autorità di Vigilanza, società di revisione, etc.);</w:t>
      </w:r>
    </w:p>
    <w:p w:rsidR="00E9376C" w:rsidRPr="00474687" w:rsidRDefault="00E9376C" w:rsidP="00720557">
      <w:pPr>
        <w:pStyle w:val="Sommario7"/>
        <w:numPr>
          <w:ilvl w:val="0"/>
          <w:numId w:val="35"/>
        </w:numPr>
        <w:tabs>
          <w:tab w:val="right" w:pos="9355"/>
        </w:tabs>
        <w:jc w:val="both"/>
      </w:pPr>
      <w:r w:rsidRPr="00474687">
        <w:rPr>
          <w:rFonts w:ascii="Cambria" w:hAnsi="Cambria"/>
          <w:sz w:val="22"/>
          <w:szCs w:val="22"/>
        </w:rPr>
        <w:t>monitorare i risultati delle azioni intraprese.</w:t>
      </w:r>
    </w:p>
    <w:p w:rsidR="00E9376C" w:rsidRPr="00890CBB" w:rsidRDefault="00E9376C" w:rsidP="00720557">
      <w:pPr>
        <w:rPr>
          <w:szCs w:val="20"/>
        </w:rPr>
      </w:pPr>
    </w:p>
    <w:p w:rsidR="00E9376C" w:rsidRPr="00474687" w:rsidRDefault="00E9376C" w:rsidP="00720557">
      <w:pPr>
        <w:rPr>
          <w:szCs w:val="20"/>
        </w:rPr>
      </w:pPr>
      <w:r w:rsidRPr="00474687">
        <w:t xml:space="preserve">Per </w:t>
      </w:r>
      <w:r w:rsidRPr="00474687">
        <w:rPr>
          <w:szCs w:val="20"/>
        </w:rPr>
        <w:t>ciascuna seduta del Comitato:</w:t>
      </w:r>
    </w:p>
    <w:p w:rsidR="00E9376C" w:rsidRPr="00474687" w:rsidRDefault="00E40816" w:rsidP="00720557">
      <w:pPr>
        <w:pStyle w:val="Sommario7"/>
        <w:numPr>
          <w:ilvl w:val="0"/>
          <w:numId w:val="35"/>
        </w:numPr>
        <w:tabs>
          <w:tab w:val="right" w:pos="9355"/>
        </w:tabs>
        <w:jc w:val="both"/>
        <w:rPr>
          <w:rFonts w:ascii="Cambria" w:hAnsi="Cambria"/>
          <w:sz w:val="22"/>
          <w:szCs w:val="22"/>
        </w:rPr>
      </w:pPr>
      <w:r w:rsidRPr="00474687">
        <w:rPr>
          <w:rFonts w:ascii="Cambria" w:hAnsi="Cambria"/>
          <w:sz w:val="22"/>
          <w:szCs w:val="22"/>
        </w:rPr>
        <w:t>la Funzione</w:t>
      </w:r>
      <w:r w:rsidR="00E9376C" w:rsidRPr="00474687">
        <w:rPr>
          <w:rFonts w:ascii="Cambria" w:hAnsi="Cambria"/>
          <w:sz w:val="22"/>
          <w:szCs w:val="22"/>
        </w:rPr>
        <w:t xml:space="preserve"> Risk Management predispone la reportistica finalizzata alla rappresentazione dell’esposizione al rischio di liquidità;</w:t>
      </w:r>
    </w:p>
    <w:p w:rsidR="00E9376C" w:rsidRPr="00474687" w:rsidRDefault="00E9376C" w:rsidP="00720557">
      <w:pPr>
        <w:pStyle w:val="Sommario7"/>
        <w:numPr>
          <w:ilvl w:val="0"/>
          <w:numId w:val="35"/>
        </w:numPr>
        <w:tabs>
          <w:tab w:val="right" w:pos="9355"/>
        </w:tabs>
        <w:jc w:val="both"/>
        <w:rPr>
          <w:rFonts w:ascii="Cambria" w:hAnsi="Cambria"/>
          <w:sz w:val="22"/>
          <w:szCs w:val="22"/>
        </w:rPr>
      </w:pPr>
      <w:r w:rsidRPr="00474687">
        <w:rPr>
          <w:rFonts w:ascii="Cambria" w:hAnsi="Cambria"/>
          <w:sz w:val="22"/>
          <w:szCs w:val="22"/>
        </w:rPr>
        <w:t>l’</w:t>
      </w:r>
      <w:r w:rsidR="00866B55" w:rsidRPr="00474687">
        <w:rPr>
          <w:rFonts w:ascii="Cambria" w:hAnsi="Cambria"/>
          <w:sz w:val="22"/>
          <w:szCs w:val="22"/>
        </w:rPr>
        <w:t>Area Amministrazione e Finanza</w:t>
      </w:r>
      <w:r w:rsidRPr="00474687">
        <w:rPr>
          <w:rFonts w:ascii="Cambria" w:hAnsi="Cambria"/>
          <w:sz w:val="22"/>
          <w:szCs w:val="22"/>
        </w:rPr>
        <w:t xml:space="preserve"> predispone un report di sintesi sulla situazione di tesoreria nonché, ove necessario, una relazione sull’andamento dei mercati finanziari. </w:t>
      </w:r>
    </w:p>
    <w:p w:rsidR="00E9376C" w:rsidRPr="003C446E" w:rsidRDefault="00E9376C" w:rsidP="00720557">
      <w:pPr>
        <w:rPr>
          <w:lang w:eastAsia="it-IT"/>
        </w:rPr>
      </w:pPr>
    </w:p>
    <w:p w:rsidR="00E9376C" w:rsidRDefault="00785452" w:rsidP="00720557">
      <w:r w:rsidRPr="00474687">
        <w:t>L’Amministratore Delegato</w:t>
      </w:r>
      <w:r w:rsidR="00E9376C" w:rsidRPr="00474687">
        <w:t xml:space="preserve"> definisce, nei limiti delle proprie facoltà, le azioni da attuare, tenendo presente le proposte al riguardo formulate dal Comitato, ed informa il Consiglio di Amministrazione circa l’attivazione delle predette azioni per la gestione della condizione di “crisi”. </w:t>
      </w:r>
      <w:r w:rsidR="00E9376C" w:rsidRPr="00474687">
        <w:rPr>
          <w:szCs w:val="20"/>
        </w:rPr>
        <w:t xml:space="preserve">Inoltre, </w:t>
      </w:r>
      <w:r w:rsidRPr="00474687">
        <w:rPr>
          <w:szCs w:val="20"/>
        </w:rPr>
        <w:t>l’Amministratore Delegato</w:t>
      </w:r>
      <w:r w:rsidR="00E9376C" w:rsidRPr="00474687">
        <w:rPr>
          <w:szCs w:val="20"/>
        </w:rPr>
        <w:t xml:space="preserve"> </w:t>
      </w:r>
      <w:r w:rsidR="00E9376C" w:rsidRPr="00474687">
        <w:t>predispone una specifica informativa per le Funzioni aziendali cui è demandata l’attuazione delle misure adottate.</w:t>
      </w:r>
      <w:r w:rsidR="00E9376C">
        <w:t xml:space="preserve"> </w:t>
      </w:r>
    </w:p>
    <w:p w:rsidR="00E9376C" w:rsidRPr="00474687" w:rsidRDefault="00785452" w:rsidP="00720557">
      <w:r w:rsidRPr="00474687">
        <w:t>L’Amministratore Delegato</w:t>
      </w:r>
      <w:r w:rsidR="00E9376C" w:rsidRPr="00474687">
        <w:t xml:space="preserve"> revoca lo stato di “crisi” una volta riscontrato il superamento di tale condizione e valuta se avviare le procedure organizzative previste per il ripristino di una condizione di “normale corso degli affari”. </w:t>
      </w:r>
      <w:r w:rsidRPr="00474687">
        <w:t xml:space="preserve">L’Amministratore Delegato </w:t>
      </w:r>
      <w:r w:rsidR="00E9376C" w:rsidRPr="00474687">
        <w:t>predispone una specifica informativa al Consiglio di Amministrazione in merito alle decisioni adottate.</w:t>
      </w:r>
    </w:p>
    <w:p w:rsidR="00E9376C" w:rsidRDefault="00E9376C" w:rsidP="00720557">
      <w:r w:rsidRPr="00474687">
        <w:t>Nel caso in cui le azioni correttive intraprese non consentano di superare lo stato di “crisi” occorre fornire un’apposita informativa al Consiglio di Amministrazione cui compete l’adozione di ulteriori interventi anch</w:t>
      </w:r>
      <w:r w:rsidR="00866B55" w:rsidRPr="00474687">
        <w:t>e di natura straordinaria.</w:t>
      </w:r>
    </w:p>
    <w:p w:rsidR="00E9376C" w:rsidRPr="009A7060" w:rsidRDefault="00E9376C" w:rsidP="00720557">
      <w:pPr>
        <w:pStyle w:val="Titolo2"/>
        <w:numPr>
          <w:ilvl w:val="1"/>
          <w:numId w:val="31"/>
        </w:numPr>
        <w:tabs>
          <w:tab w:val="clear" w:pos="4820"/>
        </w:tabs>
        <w:spacing w:before="480" w:after="240"/>
        <w:ind w:hanging="567"/>
      </w:pPr>
      <w:bookmarkStart w:id="18" w:name="_Toc300303614"/>
      <w:bookmarkStart w:id="19" w:name="_Toc305066059"/>
      <w:bookmarkStart w:id="20" w:name="_Toc316654613"/>
      <w:bookmarkStart w:id="21" w:name="_Toc453712271"/>
      <w:r w:rsidRPr="009A7060">
        <w:t>Le strategie di intervento per il superamento di una condizione di “crisi”</w:t>
      </w:r>
      <w:bookmarkEnd w:id="18"/>
      <w:bookmarkEnd w:id="19"/>
      <w:bookmarkEnd w:id="20"/>
      <w:bookmarkEnd w:id="21"/>
    </w:p>
    <w:p w:rsidR="00E9376C" w:rsidRPr="00890CBB" w:rsidRDefault="00E9376C" w:rsidP="00720557">
      <w:pPr>
        <w:rPr>
          <w:szCs w:val="20"/>
        </w:rPr>
      </w:pPr>
      <w:r w:rsidRPr="003E3C27">
        <w:t>Di seguito sono riportate le potenziali azioni da intraprendere per la gestione della liquidità in una condizione di “crisi”. Tuttavia, tale lista non esaurisce il novero degli interventi attivabili</w:t>
      </w:r>
      <w:r w:rsidR="00474687" w:rsidRPr="003E3C27">
        <w:t xml:space="preserve">. </w:t>
      </w:r>
      <w:r w:rsidRPr="003E3C27">
        <w:t>Il Comitato, difatti, di volta in volta è tenuto ad individuare la strategia di intervento in considerazione:</w:t>
      </w:r>
    </w:p>
    <w:p w:rsidR="00E9376C" w:rsidRPr="003E3C27" w:rsidRDefault="00E9376C" w:rsidP="00720557">
      <w:pPr>
        <w:pStyle w:val="Paragrafoelenco"/>
        <w:numPr>
          <w:ilvl w:val="0"/>
          <w:numId w:val="36"/>
        </w:numPr>
      </w:pPr>
      <w:r w:rsidRPr="003E3C27">
        <w:t>della natura e delle cause della tensione nonché dell’orizzonte temporale in cui la stessa si manifesta;</w:t>
      </w:r>
    </w:p>
    <w:p w:rsidR="00E9376C" w:rsidRPr="003E3C27" w:rsidRDefault="00E9376C" w:rsidP="00720557">
      <w:pPr>
        <w:pStyle w:val="Paragrafoelenco"/>
        <w:numPr>
          <w:ilvl w:val="0"/>
          <w:numId w:val="36"/>
        </w:numPr>
      </w:pPr>
      <w:r w:rsidRPr="003E3C27">
        <w:t>dei tempi necessari per l’attivazione di ciascuna azione e per il reperimento della liquidità;</w:t>
      </w:r>
    </w:p>
    <w:p w:rsidR="00E9376C" w:rsidRPr="003E3C27" w:rsidRDefault="00E9376C" w:rsidP="00720557">
      <w:pPr>
        <w:pStyle w:val="Paragrafoelenco"/>
        <w:numPr>
          <w:ilvl w:val="0"/>
          <w:numId w:val="36"/>
        </w:numPr>
      </w:pPr>
      <w:r w:rsidRPr="003E3C27">
        <w:t xml:space="preserve">della necessità di minimizzare l’impatto sulla redditività </w:t>
      </w:r>
      <w:r w:rsidR="00866B55" w:rsidRPr="003E3C27">
        <w:t>del Confidi</w:t>
      </w:r>
      <w:r w:rsidRPr="003E3C27">
        <w:t xml:space="preserve"> ed i rischi di natura reputazionale;</w:t>
      </w:r>
    </w:p>
    <w:p w:rsidR="00E9376C" w:rsidRDefault="00E9376C" w:rsidP="00720557">
      <w:pPr>
        <w:pStyle w:val="Paragrafoelenco"/>
        <w:numPr>
          <w:ilvl w:val="0"/>
          <w:numId w:val="36"/>
        </w:numPr>
      </w:pPr>
      <w:r w:rsidRPr="003E3C27">
        <w:t>della situazione in cui versano i mercati finanziari.</w:t>
      </w:r>
    </w:p>
    <w:p w:rsidR="00735448" w:rsidRDefault="00735448" w:rsidP="00735448"/>
    <w:p w:rsidR="00735448" w:rsidRDefault="00735448" w:rsidP="00735448">
      <w:r>
        <w:t xml:space="preserve">Inoltre, il Comitato, stima i tempi per l’attivazione </w:t>
      </w:r>
      <w:r w:rsidR="000E0EBF">
        <w:t>di o</w:t>
      </w:r>
      <w:r>
        <w:t>gni singola misura</w:t>
      </w:r>
      <w:r w:rsidR="000E0EBF">
        <w:t>.</w:t>
      </w:r>
    </w:p>
    <w:tbl>
      <w:tblPr>
        <w:tblW w:w="491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177"/>
        <w:gridCol w:w="1532"/>
        <w:gridCol w:w="1545"/>
        <w:gridCol w:w="1541"/>
      </w:tblGrid>
      <w:tr w:rsidR="000707D2" w:rsidRPr="009A7060" w:rsidTr="000707D2">
        <w:trPr>
          <w:trHeight w:val="218"/>
          <w:tblCellSpacing w:w="20" w:type="dxa"/>
        </w:trPr>
        <w:tc>
          <w:tcPr>
            <w:tcW w:w="2610" w:type="pct"/>
            <w:shd w:val="clear" w:color="auto" w:fill="E6E6E6"/>
            <w:vAlign w:val="center"/>
          </w:tcPr>
          <w:p w:rsidR="000707D2" w:rsidRPr="009A7060" w:rsidRDefault="000707D2" w:rsidP="00F44538">
            <w:pPr>
              <w:pStyle w:val="Default"/>
              <w:jc w:val="center"/>
              <w:rPr>
                <w:rFonts w:ascii="Arial" w:hAnsi="Arial" w:cs="Arial"/>
                <w:b/>
                <w:color w:val="auto"/>
                <w:sz w:val="18"/>
                <w:szCs w:val="18"/>
              </w:rPr>
            </w:pPr>
            <w:r>
              <w:br w:type="page"/>
            </w:r>
            <w:r w:rsidRPr="009A7060">
              <w:rPr>
                <w:rFonts w:ascii="Arial" w:hAnsi="Arial" w:cs="Arial"/>
                <w:b/>
                <w:color w:val="auto"/>
                <w:sz w:val="18"/>
                <w:szCs w:val="18"/>
              </w:rPr>
              <w:t>Action list</w:t>
            </w:r>
          </w:p>
        </w:tc>
        <w:tc>
          <w:tcPr>
            <w:tcW w:w="761" w:type="pct"/>
            <w:shd w:val="clear" w:color="auto" w:fill="E6E6E6"/>
            <w:vAlign w:val="center"/>
          </w:tcPr>
          <w:p w:rsidR="000707D2" w:rsidRPr="009A7060" w:rsidRDefault="000707D2" w:rsidP="00F44538">
            <w:pPr>
              <w:pStyle w:val="Default"/>
              <w:jc w:val="center"/>
              <w:rPr>
                <w:rFonts w:ascii="Arial" w:hAnsi="Arial" w:cs="Arial"/>
                <w:b/>
                <w:color w:val="auto"/>
                <w:sz w:val="18"/>
                <w:szCs w:val="18"/>
              </w:rPr>
            </w:pPr>
            <w:r w:rsidRPr="009A7060">
              <w:rPr>
                <w:rFonts w:ascii="Arial" w:hAnsi="Arial" w:cs="Arial"/>
                <w:b/>
                <w:color w:val="auto"/>
                <w:sz w:val="18"/>
                <w:szCs w:val="18"/>
              </w:rPr>
              <w:t>Sistemica</w:t>
            </w:r>
          </w:p>
        </w:tc>
        <w:tc>
          <w:tcPr>
            <w:tcW w:w="768" w:type="pct"/>
            <w:shd w:val="clear" w:color="auto" w:fill="E6E6E6"/>
            <w:vAlign w:val="center"/>
          </w:tcPr>
          <w:p w:rsidR="000707D2" w:rsidRPr="009A7060" w:rsidRDefault="000707D2" w:rsidP="00F44538">
            <w:pPr>
              <w:pStyle w:val="Default"/>
              <w:jc w:val="center"/>
              <w:rPr>
                <w:rFonts w:ascii="Arial" w:hAnsi="Arial" w:cs="Arial"/>
                <w:b/>
                <w:color w:val="auto"/>
                <w:sz w:val="18"/>
                <w:szCs w:val="18"/>
              </w:rPr>
            </w:pPr>
            <w:r w:rsidRPr="009A7060">
              <w:rPr>
                <w:rFonts w:ascii="Arial" w:hAnsi="Arial" w:cs="Arial"/>
                <w:b/>
                <w:color w:val="auto"/>
                <w:sz w:val="18"/>
                <w:szCs w:val="18"/>
              </w:rPr>
              <w:t>Idiosincratica</w:t>
            </w:r>
          </w:p>
        </w:tc>
        <w:tc>
          <w:tcPr>
            <w:tcW w:w="756" w:type="pct"/>
            <w:shd w:val="clear" w:color="auto" w:fill="E6E6E6"/>
          </w:tcPr>
          <w:p w:rsidR="000707D2" w:rsidRPr="009A7060" w:rsidRDefault="000707D2" w:rsidP="00F44538">
            <w:pPr>
              <w:pStyle w:val="Default"/>
              <w:jc w:val="center"/>
              <w:rPr>
                <w:rFonts w:ascii="Arial" w:hAnsi="Arial" w:cs="Arial"/>
                <w:b/>
                <w:color w:val="auto"/>
                <w:sz w:val="18"/>
                <w:szCs w:val="18"/>
              </w:rPr>
            </w:pPr>
            <w:r>
              <w:rPr>
                <w:rFonts w:ascii="Arial" w:hAnsi="Arial" w:cs="Arial"/>
                <w:b/>
                <w:color w:val="auto"/>
                <w:sz w:val="18"/>
                <w:szCs w:val="18"/>
              </w:rPr>
              <w:t xml:space="preserve">Stima GG. </w:t>
            </w:r>
            <w:r w:rsidR="006A16CA">
              <w:rPr>
                <w:rFonts w:ascii="Arial" w:hAnsi="Arial" w:cs="Arial"/>
                <w:b/>
                <w:color w:val="auto"/>
                <w:sz w:val="18"/>
                <w:szCs w:val="18"/>
              </w:rPr>
              <w:t>n</w:t>
            </w:r>
            <w:r>
              <w:rPr>
                <w:rFonts w:ascii="Arial" w:hAnsi="Arial" w:cs="Arial"/>
                <w:b/>
                <w:color w:val="auto"/>
                <w:sz w:val="18"/>
                <w:szCs w:val="18"/>
              </w:rPr>
              <w:t>ecessari per l’attivazione</w:t>
            </w:r>
          </w:p>
        </w:tc>
      </w:tr>
      <w:tr w:rsidR="000707D2" w:rsidRPr="009A7060" w:rsidTr="000707D2">
        <w:trPr>
          <w:trHeight w:val="682"/>
          <w:tblCellSpacing w:w="20" w:type="dxa"/>
        </w:trPr>
        <w:tc>
          <w:tcPr>
            <w:tcW w:w="2610" w:type="pct"/>
            <w:shd w:val="clear" w:color="auto" w:fill="auto"/>
            <w:vAlign w:val="center"/>
          </w:tcPr>
          <w:p w:rsidR="000707D2" w:rsidRPr="009A7060" w:rsidRDefault="000707D2" w:rsidP="00866B55">
            <w:pPr>
              <w:pStyle w:val="Default"/>
              <w:jc w:val="both"/>
              <w:rPr>
                <w:rFonts w:ascii="Arial" w:hAnsi="Arial" w:cs="Arial"/>
                <w:color w:val="auto"/>
                <w:sz w:val="18"/>
                <w:szCs w:val="18"/>
              </w:rPr>
            </w:pPr>
            <w:r>
              <w:rPr>
                <w:rFonts w:ascii="Arial" w:hAnsi="Arial" w:cs="Arial"/>
                <w:i/>
                <w:color w:val="auto"/>
                <w:sz w:val="18"/>
                <w:szCs w:val="18"/>
              </w:rPr>
              <w:t>Vendita</w:t>
            </w:r>
            <w:r w:rsidRPr="009A7060">
              <w:rPr>
                <w:rFonts w:ascii="Arial" w:hAnsi="Arial" w:cs="Arial"/>
                <w:i/>
                <w:color w:val="auto"/>
                <w:sz w:val="18"/>
                <w:szCs w:val="18"/>
              </w:rPr>
              <w:t xml:space="preserve"> degli </w:t>
            </w:r>
            <w:proofErr w:type="spellStart"/>
            <w:r w:rsidRPr="009A7060">
              <w:rPr>
                <w:rFonts w:ascii="Arial" w:hAnsi="Arial" w:cs="Arial"/>
                <w:i/>
                <w:color w:val="auto"/>
                <w:sz w:val="18"/>
                <w:szCs w:val="18"/>
              </w:rPr>
              <w:t>asset</w:t>
            </w:r>
            <w:proofErr w:type="spellEnd"/>
            <w:r w:rsidRPr="009A7060">
              <w:rPr>
                <w:rFonts w:ascii="Arial" w:hAnsi="Arial" w:cs="Arial"/>
                <w:i/>
                <w:color w:val="auto"/>
                <w:sz w:val="18"/>
                <w:szCs w:val="18"/>
              </w:rPr>
              <w:t xml:space="preserve"> </w:t>
            </w:r>
            <w:proofErr w:type="spellStart"/>
            <w:r w:rsidRPr="009A7060">
              <w:rPr>
                <w:rFonts w:ascii="Arial" w:hAnsi="Arial" w:cs="Arial"/>
                <w:i/>
                <w:color w:val="auto"/>
                <w:sz w:val="18"/>
                <w:szCs w:val="18"/>
              </w:rPr>
              <w:t>marketable</w:t>
            </w:r>
            <w:proofErr w:type="spellEnd"/>
            <w:r w:rsidRPr="009A7060">
              <w:rPr>
                <w:rFonts w:ascii="Arial" w:hAnsi="Arial" w:cs="Arial"/>
                <w:i/>
                <w:color w:val="auto"/>
                <w:sz w:val="18"/>
                <w:szCs w:val="18"/>
              </w:rPr>
              <w:t xml:space="preserve"> (titoli di debito, polizze di capitalizzazione, quote di OICR)</w:t>
            </w:r>
          </w:p>
        </w:tc>
        <w:tc>
          <w:tcPr>
            <w:tcW w:w="761" w:type="pct"/>
            <w:shd w:val="clear" w:color="auto" w:fill="auto"/>
            <w:vAlign w:val="center"/>
          </w:tcPr>
          <w:p w:rsidR="000707D2" w:rsidRPr="009A7060" w:rsidRDefault="000707D2" w:rsidP="00F44538">
            <w:pPr>
              <w:pStyle w:val="Default"/>
              <w:jc w:val="center"/>
              <w:rPr>
                <w:rFonts w:ascii="Arial" w:hAnsi="Arial" w:cs="Arial"/>
                <w:color w:val="auto"/>
                <w:sz w:val="18"/>
                <w:szCs w:val="18"/>
              </w:rPr>
            </w:pPr>
            <w:r w:rsidRPr="009A7060">
              <w:rPr>
                <w:rFonts w:ascii="Arial" w:hAnsi="Arial" w:cs="Arial"/>
                <w:sz w:val="18"/>
                <w:szCs w:val="18"/>
              </w:rPr>
              <w:sym w:font="ZapfDingbats" w:char="F0FC"/>
            </w:r>
          </w:p>
        </w:tc>
        <w:tc>
          <w:tcPr>
            <w:tcW w:w="768" w:type="pct"/>
            <w:shd w:val="clear" w:color="auto" w:fill="auto"/>
            <w:vAlign w:val="center"/>
          </w:tcPr>
          <w:p w:rsidR="000707D2" w:rsidRPr="009A7060" w:rsidRDefault="000707D2" w:rsidP="00F44538">
            <w:pPr>
              <w:pStyle w:val="Default"/>
              <w:jc w:val="center"/>
              <w:rPr>
                <w:rFonts w:ascii="Arial" w:hAnsi="Arial" w:cs="Arial"/>
                <w:color w:val="auto"/>
                <w:sz w:val="18"/>
                <w:szCs w:val="18"/>
              </w:rPr>
            </w:pPr>
            <w:r w:rsidRPr="009A7060">
              <w:rPr>
                <w:rFonts w:ascii="Arial" w:hAnsi="Arial" w:cs="Arial"/>
                <w:sz w:val="18"/>
                <w:szCs w:val="18"/>
              </w:rPr>
              <w:sym w:font="ZapfDingbats" w:char="F0FC"/>
            </w:r>
          </w:p>
        </w:tc>
        <w:tc>
          <w:tcPr>
            <w:tcW w:w="756" w:type="pct"/>
          </w:tcPr>
          <w:p w:rsidR="000707D2" w:rsidRPr="009A7060" w:rsidRDefault="000707D2" w:rsidP="00F44538">
            <w:pPr>
              <w:pStyle w:val="Default"/>
              <w:jc w:val="center"/>
              <w:rPr>
                <w:rFonts w:ascii="Arial" w:hAnsi="Arial" w:cs="Arial"/>
                <w:sz w:val="18"/>
                <w:szCs w:val="18"/>
              </w:rPr>
            </w:pPr>
          </w:p>
        </w:tc>
      </w:tr>
      <w:tr w:rsidR="000707D2" w:rsidRPr="009A7060" w:rsidTr="000707D2">
        <w:trPr>
          <w:trHeight w:val="309"/>
          <w:tblCellSpacing w:w="20" w:type="dxa"/>
        </w:trPr>
        <w:tc>
          <w:tcPr>
            <w:tcW w:w="2610" w:type="pct"/>
            <w:shd w:val="clear" w:color="auto" w:fill="auto"/>
            <w:vAlign w:val="center"/>
          </w:tcPr>
          <w:p w:rsidR="000707D2" w:rsidRPr="009A7060" w:rsidRDefault="000707D2" w:rsidP="00F44538">
            <w:pPr>
              <w:pStyle w:val="Default"/>
              <w:jc w:val="both"/>
              <w:rPr>
                <w:rFonts w:ascii="Arial" w:hAnsi="Arial" w:cs="Arial"/>
                <w:i/>
                <w:color w:val="auto"/>
                <w:sz w:val="18"/>
                <w:szCs w:val="18"/>
              </w:rPr>
            </w:pPr>
            <w:r w:rsidRPr="009A7060">
              <w:rPr>
                <w:rFonts w:ascii="Arial" w:hAnsi="Arial" w:cs="Arial"/>
                <w:i/>
                <w:color w:val="auto"/>
                <w:sz w:val="18"/>
                <w:szCs w:val="18"/>
              </w:rPr>
              <w:t xml:space="preserve">Cessione asset non strategici (partecipazioni, immobili ecc.) </w:t>
            </w:r>
          </w:p>
        </w:tc>
        <w:tc>
          <w:tcPr>
            <w:tcW w:w="761" w:type="pct"/>
            <w:shd w:val="clear" w:color="auto" w:fill="auto"/>
            <w:vAlign w:val="center"/>
          </w:tcPr>
          <w:p w:rsidR="000707D2" w:rsidRPr="009A7060" w:rsidRDefault="000707D2" w:rsidP="00F44538">
            <w:pPr>
              <w:pStyle w:val="Default"/>
              <w:jc w:val="center"/>
              <w:rPr>
                <w:rFonts w:ascii="Arial" w:hAnsi="Arial" w:cs="Arial"/>
                <w:color w:val="auto"/>
                <w:sz w:val="18"/>
                <w:szCs w:val="18"/>
              </w:rPr>
            </w:pPr>
            <w:r w:rsidRPr="009A7060">
              <w:rPr>
                <w:rFonts w:ascii="Arial" w:hAnsi="Arial" w:cs="Arial"/>
                <w:sz w:val="18"/>
                <w:szCs w:val="18"/>
              </w:rPr>
              <w:sym w:font="ZapfDingbats" w:char="F0FC"/>
            </w:r>
          </w:p>
        </w:tc>
        <w:tc>
          <w:tcPr>
            <w:tcW w:w="768" w:type="pct"/>
            <w:shd w:val="clear" w:color="auto" w:fill="auto"/>
            <w:vAlign w:val="center"/>
          </w:tcPr>
          <w:p w:rsidR="000707D2" w:rsidRPr="009A7060" w:rsidRDefault="000707D2" w:rsidP="00F44538">
            <w:pPr>
              <w:pStyle w:val="Default"/>
              <w:jc w:val="center"/>
              <w:rPr>
                <w:rFonts w:ascii="Arial" w:hAnsi="Arial" w:cs="Arial"/>
                <w:color w:val="auto"/>
                <w:sz w:val="18"/>
                <w:szCs w:val="18"/>
              </w:rPr>
            </w:pPr>
            <w:r w:rsidRPr="009A7060">
              <w:rPr>
                <w:rFonts w:ascii="Arial" w:hAnsi="Arial" w:cs="Arial"/>
                <w:sz w:val="18"/>
                <w:szCs w:val="18"/>
              </w:rPr>
              <w:sym w:font="ZapfDingbats" w:char="F0FC"/>
            </w:r>
          </w:p>
        </w:tc>
        <w:tc>
          <w:tcPr>
            <w:tcW w:w="756" w:type="pct"/>
          </w:tcPr>
          <w:p w:rsidR="000707D2" w:rsidRPr="009A7060" w:rsidRDefault="000707D2" w:rsidP="00F44538">
            <w:pPr>
              <w:pStyle w:val="Default"/>
              <w:jc w:val="center"/>
              <w:rPr>
                <w:rFonts w:ascii="Arial" w:hAnsi="Arial" w:cs="Arial"/>
                <w:sz w:val="18"/>
                <w:szCs w:val="18"/>
              </w:rPr>
            </w:pPr>
          </w:p>
        </w:tc>
      </w:tr>
      <w:tr w:rsidR="000707D2" w:rsidRPr="009A7060" w:rsidTr="000707D2">
        <w:trPr>
          <w:trHeight w:val="309"/>
          <w:tblCellSpacing w:w="20" w:type="dxa"/>
        </w:trPr>
        <w:tc>
          <w:tcPr>
            <w:tcW w:w="2610" w:type="pct"/>
            <w:shd w:val="clear" w:color="auto" w:fill="auto"/>
            <w:vAlign w:val="center"/>
          </w:tcPr>
          <w:p w:rsidR="000707D2" w:rsidRPr="009A7060" w:rsidRDefault="000707D2" w:rsidP="00F44538">
            <w:pPr>
              <w:pStyle w:val="Default"/>
              <w:jc w:val="both"/>
              <w:rPr>
                <w:rFonts w:ascii="Arial" w:hAnsi="Arial" w:cs="Arial"/>
                <w:i/>
                <w:color w:val="auto"/>
                <w:sz w:val="18"/>
                <w:szCs w:val="18"/>
              </w:rPr>
            </w:pPr>
            <w:r w:rsidRPr="00210640">
              <w:rPr>
                <w:rFonts w:ascii="Arial" w:hAnsi="Arial" w:cs="Arial"/>
                <w:i/>
                <w:color w:val="auto"/>
                <w:sz w:val="18"/>
                <w:szCs w:val="18"/>
              </w:rPr>
              <w:t xml:space="preserve">Aumento del </w:t>
            </w:r>
            <w:proofErr w:type="spellStart"/>
            <w:r w:rsidRPr="00210640">
              <w:rPr>
                <w:rFonts w:ascii="Arial" w:hAnsi="Arial" w:cs="Arial"/>
                <w:i/>
                <w:color w:val="auto"/>
                <w:sz w:val="18"/>
                <w:szCs w:val="18"/>
              </w:rPr>
              <w:t>funding</w:t>
            </w:r>
            <w:proofErr w:type="spellEnd"/>
            <w:r w:rsidRPr="00210640">
              <w:rPr>
                <w:rFonts w:ascii="Arial" w:hAnsi="Arial" w:cs="Arial"/>
                <w:i/>
                <w:color w:val="auto"/>
                <w:sz w:val="18"/>
                <w:szCs w:val="18"/>
              </w:rPr>
              <w:t xml:space="preserve"> </w:t>
            </w:r>
            <w:proofErr w:type="spellStart"/>
            <w:r w:rsidRPr="00210640">
              <w:rPr>
                <w:rFonts w:ascii="Arial" w:hAnsi="Arial" w:cs="Arial"/>
                <w:i/>
                <w:color w:val="auto"/>
                <w:sz w:val="18"/>
                <w:szCs w:val="18"/>
              </w:rPr>
              <w:t>unsecured</w:t>
            </w:r>
            <w:proofErr w:type="spellEnd"/>
            <w:r w:rsidRPr="00210640">
              <w:rPr>
                <w:rFonts w:ascii="Arial" w:hAnsi="Arial" w:cs="Arial"/>
                <w:i/>
                <w:color w:val="auto"/>
                <w:sz w:val="18"/>
                <w:szCs w:val="18"/>
              </w:rPr>
              <w:t xml:space="preserve"> su mercato interbancario, mediante richiesta ed utilizzo di linee di credito</w:t>
            </w:r>
          </w:p>
        </w:tc>
        <w:tc>
          <w:tcPr>
            <w:tcW w:w="761" w:type="pct"/>
            <w:shd w:val="clear" w:color="auto" w:fill="auto"/>
            <w:vAlign w:val="center"/>
          </w:tcPr>
          <w:p w:rsidR="000707D2" w:rsidRPr="009A7060" w:rsidRDefault="000707D2" w:rsidP="00F44538">
            <w:pPr>
              <w:pStyle w:val="Default"/>
              <w:jc w:val="center"/>
              <w:rPr>
                <w:rFonts w:ascii="Arial" w:hAnsi="Arial" w:cs="Arial"/>
                <w:color w:val="auto"/>
                <w:sz w:val="18"/>
                <w:szCs w:val="18"/>
              </w:rPr>
            </w:pPr>
          </w:p>
        </w:tc>
        <w:tc>
          <w:tcPr>
            <w:tcW w:w="768" w:type="pct"/>
            <w:shd w:val="clear" w:color="auto" w:fill="auto"/>
            <w:vAlign w:val="center"/>
          </w:tcPr>
          <w:p w:rsidR="000707D2" w:rsidRPr="009A7060" w:rsidRDefault="000707D2" w:rsidP="00F44538">
            <w:pPr>
              <w:pStyle w:val="Default"/>
              <w:jc w:val="center"/>
              <w:rPr>
                <w:rFonts w:ascii="Arial" w:hAnsi="Arial" w:cs="Arial"/>
                <w:color w:val="auto"/>
                <w:sz w:val="18"/>
                <w:szCs w:val="18"/>
              </w:rPr>
            </w:pPr>
            <w:r w:rsidRPr="009A7060">
              <w:rPr>
                <w:rFonts w:ascii="Arial" w:hAnsi="Arial" w:cs="Arial"/>
                <w:sz w:val="18"/>
                <w:szCs w:val="18"/>
              </w:rPr>
              <w:sym w:font="ZapfDingbats" w:char="F0FC"/>
            </w:r>
          </w:p>
        </w:tc>
        <w:tc>
          <w:tcPr>
            <w:tcW w:w="756" w:type="pct"/>
          </w:tcPr>
          <w:p w:rsidR="000707D2" w:rsidRPr="009A7060" w:rsidRDefault="000707D2" w:rsidP="00F44538">
            <w:pPr>
              <w:pStyle w:val="Default"/>
              <w:jc w:val="center"/>
              <w:rPr>
                <w:rFonts w:ascii="Arial" w:hAnsi="Arial" w:cs="Arial"/>
                <w:sz w:val="18"/>
                <w:szCs w:val="18"/>
              </w:rPr>
            </w:pPr>
          </w:p>
        </w:tc>
      </w:tr>
      <w:tr w:rsidR="000707D2" w:rsidRPr="009A7060" w:rsidTr="000707D2">
        <w:trPr>
          <w:trHeight w:val="309"/>
          <w:tblCellSpacing w:w="20" w:type="dxa"/>
        </w:trPr>
        <w:tc>
          <w:tcPr>
            <w:tcW w:w="2610" w:type="pct"/>
            <w:shd w:val="clear" w:color="auto" w:fill="auto"/>
            <w:vAlign w:val="center"/>
          </w:tcPr>
          <w:p w:rsidR="000707D2" w:rsidRPr="009A7060" w:rsidRDefault="000707D2" w:rsidP="00866B55">
            <w:pPr>
              <w:pStyle w:val="Default"/>
              <w:jc w:val="both"/>
              <w:rPr>
                <w:rFonts w:ascii="Arial" w:hAnsi="Arial" w:cs="Arial"/>
                <w:i/>
                <w:color w:val="auto"/>
                <w:sz w:val="18"/>
                <w:szCs w:val="18"/>
              </w:rPr>
            </w:pPr>
            <w:r w:rsidRPr="00210640">
              <w:rPr>
                <w:rFonts w:ascii="Arial" w:hAnsi="Arial" w:cs="Arial"/>
                <w:i/>
                <w:color w:val="auto"/>
                <w:sz w:val="18"/>
                <w:szCs w:val="18"/>
              </w:rPr>
              <w:t xml:space="preserve">Aumento del </w:t>
            </w:r>
            <w:proofErr w:type="spellStart"/>
            <w:r w:rsidRPr="00210640">
              <w:rPr>
                <w:rFonts w:ascii="Arial" w:hAnsi="Arial" w:cs="Arial"/>
                <w:i/>
                <w:color w:val="auto"/>
                <w:sz w:val="18"/>
                <w:szCs w:val="18"/>
              </w:rPr>
              <w:t>funding</w:t>
            </w:r>
            <w:proofErr w:type="spellEnd"/>
            <w:r w:rsidRPr="00210640">
              <w:rPr>
                <w:rFonts w:ascii="Arial" w:hAnsi="Arial" w:cs="Arial"/>
                <w:i/>
                <w:color w:val="auto"/>
                <w:sz w:val="18"/>
                <w:szCs w:val="18"/>
              </w:rPr>
              <w:t xml:space="preserve"> </w:t>
            </w:r>
            <w:proofErr w:type="spellStart"/>
            <w:r w:rsidRPr="00210640">
              <w:rPr>
                <w:rFonts w:ascii="Arial" w:hAnsi="Arial" w:cs="Arial"/>
                <w:i/>
                <w:color w:val="auto"/>
                <w:sz w:val="18"/>
                <w:szCs w:val="18"/>
              </w:rPr>
              <w:t>secured</w:t>
            </w:r>
            <w:proofErr w:type="spellEnd"/>
            <w:r w:rsidRPr="00210640">
              <w:rPr>
                <w:rFonts w:ascii="Arial" w:hAnsi="Arial" w:cs="Arial"/>
                <w:i/>
                <w:color w:val="auto"/>
                <w:sz w:val="18"/>
                <w:szCs w:val="18"/>
              </w:rPr>
              <w:t xml:space="preserve"> su mercato interbancario, mediante richiesta ed utilizzo di linee di credito</w:t>
            </w:r>
          </w:p>
        </w:tc>
        <w:tc>
          <w:tcPr>
            <w:tcW w:w="761" w:type="pct"/>
            <w:shd w:val="clear" w:color="auto" w:fill="auto"/>
            <w:vAlign w:val="center"/>
          </w:tcPr>
          <w:p w:rsidR="000707D2" w:rsidRPr="009A7060" w:rsidRDefault="000707D2" w:rsidP="00F44538">
            <w:pPr>
              <w:pStyle w:val="Default"/>
              <w:jc w:val="center"/>
              <w:rPr>
                <w:rFonts w:ascii="Arial" w:hAnsi="Arial" w:cs="Arial"/>
                <w:color w:val="auto"/>
                <w:sz w:val="18"/>
                <w:szCs w:val="18"/>
              </w:rPr>
            </w:pPr>
            <w:r w:rsidRPr="009A7060">
              <w:rPr>
                <w:rFonts w:ascii="Arial" w:hAnsi="Arial" w:cs="Arial"/>
                <w:sz w:val="18"/>
                <w:szCs w:val="18"/>
              </w:rPr>
              <w:sym w:font="ZapfDingbats" w:char="F0FC"/>
            </w:r>
          </w:p>
        </w:tc>
        <w:tc>
          <w:tcPr>
            <w:tcW w:w="768" w:type="pct"/>
            <w:shd w:val="clear" w:color="auto" w:fill="auto"/>
            <w:vAlign w:val="center"/>
          </w:tcPr>
          <w:p w:rsidR="000707D2" w:rsidRPr="009A7060" w:rsidRDefault="000707D2" w:rsidP="00F44538">
            <w:pPr>
              <w:pStyle w:val="Default"/>
              <w:jc w:val="center"/>
              <w:rPr>
                <w:rFonts w:ascii="Arial" w:hAnsi="Arial" w:cs="Arial"/>
                <w:color w:val="auto"/>
                <w:sz w:val="18"/>
                <w:szCs w:val="18"/>
              </w:rPr>
            </w:pPr>
            <w:r w:rsidRPr="009A7060">
              <w:rPr>
                <w:rFonts w:ascii="Arial" w:hAnsi="Arial" w:cs="Arial"/>
                <w:sz w:val="18"/>
                <w:szCs w:val="18"/>
              </w:rPr>
              <w:sym w:font="ZapfDingbats" w:char="F0FC"/>
            </w:r>
          </w:p>
        </w:tc>
        <w:tc>
          <w:tcPr>
            <w:tcW w:w="756" w:type="pct"/>
          </w:tcPr>
          <w:p w:rsidR="000707D2" w:rsidRPr="009A7060" w:rsidRDefault="000707D2" w:rsidP="00F44538">
            <w:pPr>
              <w:pStyle w:val="Default"/>
              <w:jc w:val="center"/>
              <w:rPr>
                <w:rFonts w:ascii="Arial" w:hAnsi="Arial" w:cs="Arial"/>
                <w:sz w:val="18"/>
                <w:szCs w:val="18"/>
              </w:rPr>
            </w:pPr>
          </w:p>
        </w:tc>
      </w:tr>
      <w:tr w:rsidR="000707D2" w:rsidRPr="009A7060" w:rsidTr="000707D2">
        <w:trPr>
          <w:trHeight w:val="309"/>
          <w:tblCellSpacing w:w="20" w:type="dxa"/>
        </w:trPr>
        <w:tc>
          <w:tcPr>
            <w:tcW w:w="2610" w:type="pct"/>
            <w:shd w:val="clear" w:color="auto" w:fill="auto"/>
            <w:vAlign w:val="center"/>
          </w:tcPr>
          <w:p w:rsidR="000707D2" w:rsidRPr="006A4CB2" w:rsidRDefault="000707D2" w:rsidP="00866B55">
            <w:pPr>
              <w:pStyle w:val="Default"/>
              <w:jc w:val="both"/>
              <w:rPr>
                <w:rFonts w:ascii="Arial" w:hAnsi="Arial" w:cs="Arial"/>
                <w:i/>
                <w:color w:val="auto"/>
                <w:sz w:val="18"/>
                <w:szCs w:val="18"/>
              </w:rPr>
            </w:pPr>
            <w:r w:rsidRPr="000A77A8">
              <w:rPr>
                <w:rFonts w:ascii="Arial" w:hAnsi="Arial" w:cs="Arial"/>
                <w:i/>
                <w:color w:val="auto"/>
                <w:sz w:val="18"/>
                <w:szCs w:val="18"/>
              </w:rPr>
              <w:t>Richiesta alle controparti di dilazione dei pagamenti relativi alle escussioni sui crediti di firma</w:t>
            </w:r>
            <w:r>
              <w:rPr>
                <w:rFonts w:ascii="Arial" w:hAnsi="Arial" w:cs="Arial"/>
                <w:i/>
                <w:color w:val="auto"/>
                <w:sz w:val="18"/>
                <w:szCs w:val="18"/>
              </w:rPr>
              <w:t xml:space="preserve"> </w:t>
            </w:r>
          </w:p>
        </w:tc>
        <w:tc>
          <w:tcPr>
            <w:tcW w:w="761" w:type="pct"/>
            <w:shd w:val="clear" w:color="auto" w:fill="auto"/>
            <w:vAlign w:val="center"/>
          </w:tcPr>
          <w:p w:rsidR="000707D2" w:rsidRPr="009A7060" w:rsidRDefault="000707D2" w:rsidP="00F44538">
            <w:pPr>
              <w:pStyle w:val="Default"/>
              <w:jc w:val="center"/>
              <w:rPr>
                <w:rFonts w:ascii="Arial" w:hAnsi="Arial" w:cs="Arial"/>
                <w:sz w:val="18"/>
                <w:szCs w:val="18"/>
              </w:rPr>
            </w:pPr>
          </w:p>
        </w:tc>
        <w:tc>
          <w:tcPr>
            <w:tcW w:w="768" w:type="pct"/>
            <w:shd w:val="clear" w:color="auto" w:fill="auto"/>
            <w:vAlign w:val="center"/>
          </w:tcPr>
          <w:p w:rsidR="000707D2" w:rsidRPr="009A7060" w:rsidRDefault="000707D2" w:rsidP="00F44538">
            <w:pPr>
              <w:pStyle w:val="Default"/>
              <w:jc w:val="center"/>
              <w:rPr>
                <w:rFonts w:ascii="Arial" w:hAnsi="Arial" w:cs="Arial"/>
                <w:sz w:val="18"/>
                <w:szCs w:val="18"/>
              </w:rPr>
            </w:pPr>
            <w:r w:rsidRPr="009A7060">
              <w:rPr>
                <w:rFonts w:ascii="Arial" w:hAnsi="Arial" w:cs="Arial"/>
                <w:sz w:val="18"/>
                <w:szCs w:val="18"/>
              </w:rPr>
              <w:sym w:font="ZapfDingbats" w:char="F0FC"/>
            </w:r>
          </w:p>
        </w:tc>
        <w:tc>
          <w:tcPr>
            <w:tcW w:w="756" w:type="pct"/>
          </w:tcPr>
          <w:p w:rsidR="000707D2" w:rsidRPr="009A7060" w:rsidRDefault="000707D2" w:rsidP="00F44538">
            <w:pPr>
              <w:pStyle w:val="Default"/>
              <w:jc w:val="center"/>
              <w:rPr>
                <w:rFonts w:ascii="Arial" w:hAnsi="Arial" w:cs="Arial"/>
                <w:sz w:val="18"/>
                <w:szCs w:val="18"/>
              </w:rPr>
            </w:pPr>
          </w:p>
        </w:tc>
      </w:tr>
    </w:tbl>
    <w:p w:rsidR="00E9376C" w:rsidRPr="009A7060" w:rsidRDefault="00E9376C" w:rsidP="00E9376C">
      <w:pPr>
        <w:pStyle w:val="Default"/>
        <w:spacing w:line="360" w:lineRule="auto"/>
        <w:rPr>
          <w:rFonts w:ascii="Arial" w:hAnsi="Arial" w:cs="Arial"/>
          <w:sz w:val="6"/>
          <w:szCs w:val="16"/>
          <w:lang/>
        </w:rPr>
      </w:pPr>
    </w:p>
    <w:p w:rsidR="00E9376C" w:rsidRPr="00A158BA" w:rsidRDefault="00E9376C" w:rsidP="00E9376C">
      <w:pPr>
        <w:pStyle w:val="Default"/>
        <w:spacing w:line="360" w:lineRule="auto"/>
        <w:rPr>
          <w:rFonts w:ascii="Arial" w:hAnsi="Arial" w:cs="Arial"/>
          <w:sz w:val="16"/>
          <w:szCs w:val="16"/>
          <w:lang/>
        </w:rPr>
      </w:pPr>
      <w:r w:rsidRPr="00A158BA">
        <w:rPr>
          <w:rFonts w:ascii="Arial" w:hAnsi="Arial" w:cs="Arial"/>
          <w:sz w:val="16"/>
          <w:szCs w:val="16"/>
          <w:lang/>
        </w:rPr>
        <w:t xml:space="preserve">Schema </w:t>
      </w:r>
      <w:r w:rsidR="006E66C7">
        <w:rPr>
          <w:rFonts w:ascii="Arial" w:hAnsi="Arial" w:cs="Arial"/>
          <w:sz w:val="16"/>
          <w:szCs w:val="16"/>
          <w:lang/>
        </w:rPr>
        <w:t>1</w:t>
      </w:r>
      <w:r w:rsidRPr="00A158BA">
        <w:rPr>
          <w:rFonts w:ascii="Arial" w:hAnsi="Arial" w:cs="Arial"/>
          <w:sz w:val="16"/>
          <w:szCs w:val="16"/>
          <w:lang/>
        </w:rPr>
        <w:t xml:space="preserve">: Lista delle potenziali azioni </w:t>
      </w:r>
      <w:r>
        <w:rPr>
          <w:rFonts w:ascii="Arial" w:hAnsi="Arial" w:cs="Arial"/>
          <w:sz w:val="16"/>
          <w:szCs w:val="16"/>
          <w:lang/>
        </w:rPr>
        <w:t xml:space="preserve">che possono essere </w:t>
      </w:r>
      <w:r w:rsidRPr="00A158BA">
        <w:rPr>
          <w:rFonts w:ascii="Arial" w:hAnsi="Arial" w:cs="Arial"/>
          <w:sz w:val="16"/>
          <w:szCs w:val="16"/>
          <w:lang/>
        </w:rPr>
        <w:t>intrapre</w:t>
      </w:r>
      <w:r>
        <w:rPr>
          <w:rFonts w:ascii="Arial" w:hAnsi="Arial" w:cs="Arial"/>
          <w:sz w:val="16"/>
          <w:szCs w:val="16"/>
          <w:lang/>
        </w:rPr>
        <w:t xml:space="preserve">se </w:t>
      </w:r>
      <w:r w:rsidRPr="00A158BA">
        <w:rPr>
          <w:rFonts w:ascii="Arial" w:hAnsi="Arial" w:cs="Arial"/>
          <w:sz w:val="16"/>
          <w:szCs w:val="16"/>
          <w:lang/>
        </w:rPr>
        <w:t>in una condizione di “</w:t>
      </w:r>
      <w:r>
        <w:rPr>
          <w:rFonts w:ascii="Arial" w:hAnsi="Arial" w:cs="Arial"/>
          <w:sz w:val="16"/>
          <w:szCs w:val="16"/>
          <w:lang/>
        </w:rPr>
        <w:t>crisi</w:t>
      </w:r>
      <w:r w:rsidRPr="00A158BA">
        <w:rPr>
          <w:rFonts w:ascii="Arial" w:hAnsi="Arial" w:cs="Arial"/>
          <w:sz w:val="16"/>
          <w:szCs w:val="16"/>
          <w:lang/>
        </w:rPr>
        <w:t>”</w:t>
      </w:r>
    </w:p>
    <w:p w:rsidR="00E9376C" w:rsidRDefault="00E9376C" w:rsidP="00E9376C"/>
    <w:p w:rsidR="00A130FB" w:rsidRDefault="007262F7" w:rsidP="00720557">
      <w:r>
        <w:t>I</w:t>
      </w:r>
      <w:r w:rsidR="00FA56C5" w:rsidRPr="00210640">
        <w:t>n presenza di uno scenario avverso</w:t>
      </w:r>
      <w:r w:rsidR="00CE2E75" w:rsidRPr="00210640">
        <w:t xml:space="preserve"> </w:t>
      </w:r>
      <w:r w:rsidR="00A130FB" w:rsidRPr="00210640">
        <w:t>si procede</w:t>
      </w:r>
      <w:r w:rsidR="005E3946" w:rsidRPr="00210640">
        <w:t xml:space="preserve"> (secondo lo schema di riferimento indicato nel paragrafo 7) </w:t>
      </w:r>
      <w:r w:rsidR="00A130FB" w:rsidRPr="00210640">
        <w:t xml:space="preserve">a </w:t>
      </w:r>
      <w:r w:rsidR="002D6A6A" w:rsidRPr="00210640">
        <w:t>definire</w:t>
      </w:r>
      <w:r w:rsidR="00A130FB" w:rsidRPr="00210640">
        <w:t xml:space="preserve"> le stime di “</w:t>
      </w:r>
      <w:r w:rsidR="00A130FB" w:rsidRPr="00210640">
        <w:rPr>
          <w:i/>
        </w:rPr>
        <w:t xml:space="preserve">back </w:t>
      </w:r>
      <w:proofErr w:type="spellStart"/>
      <w:r w:rsidR="00A130FB" w:rsidRPr="00210640">
        <w:rPr>
          <w:i/>
        </w:rPr>
        <w:t>liquidity</w:t>
      </w:r>
      <w:proofErr w:type="spellEnd"/>
      <w:r w:rsidR="00A130FB" w:rsidRPr="00210640">
        <w:t>”</w:t>
      </w:r>
      <w:r w:rsidR="002D6A6A" w:rsidRPr="00210640">
        <w:t xml:space="preserve">, ovvero a determinare l’ammontare massimo di finanziamento </w:t>
      </w:r>
      <w:proofErr w:type="spellStart"/>
      <w:r w:rsidR="002D6A6A" w:rsidRPr="00210640">
        <w:rPr>
          <w:i/>
        </w:rPr>
        <w:t>unsecured</w:t>
      </w:r>
      <w:proofErr w:type="spellEnd"/>
      <w:r w:rsidR="002D6A6A" w:rsidRPr="00210640">
        <w:t xml:space="preserve"> drenabile da una pluralità di controparti bancarie al fine di far fronte ad una condizione di difficoltà sul fronte della liquidità riconducibile a cause di natura idiosincratica.</w:t>
      </w:r>
      <w:r w:rsidR="00A130FB">
        <w:t xml:space="preserve"> </w:t>
      </w:r>
    </w:p>
    <w:p w:rsidR="00E9376C" w:rsidRDefault="00E9376C" w:rsidP="00720557">
      <w:bookmarkStart w:id="22" w:name="_Toc300303615"/>
      <w:bookmarkStart w:id="23" w:name="_Toc305066060"/>
    </w:p>
    <w:p w:rsidR="00E9376C" w:rsidRPr="004C3CD4" w:rsidRDefault="00E9376C" w:rsidP="00E40816">
      <w:pPr>
        <w:pStyle w:val="Titolo1"/>
        <w:numPr>
          <w:ilvl w:val="0"/>
          <w:numId w:val="31"/>
        </w:numPr>
        <w:rPr>
          <w:szCs w:val="20"/>
        </w:rPr>
      </w:pPr>
      <w:bookmarkStart w:id="24" w:name="_Toc316654614"/>
      <w:bookmarkStart w:id="25" w:name="_Toc453712272"/>
      <w:r w:rsidRPr="004C3CD4">
        <w:t xml:space="preserve">Esecuzione delle misure previste dal CFP in ipotesi di attivazione del </w:t>
      </w:r>
      <w:r w:rsidRPr="004C3CD4">
        <w:rPr>
          <w:szCs w:val="20"/>
        </w:rPr>
        <w:t xml:space="preserve">piano di </w:t>
      </w:r>
      <w:r w:rsidRPr="004C3CD4">
        <w:rPr>
          <w:i/>
          <w:szCs w:val="20"/>
        </w:rPr>
        <w:t xml:space="preserve">Business </w:t>
      </w:r>
      <w:proofErr w:type="spellStart"/>
      <w:r w:rsidRPr="004C3CD4">
        <w:rPr>
          <w:i/>
          <w:szCs w:val="20"/>
        </w:rPr>
        <w:t>Continuity</w:t>
      </w:r>
      <w:bookmarkEnd w:id="22"/>
      <w:bookmarkEnd w:id="23"/>
      <w:bookmarkEnd w:id="24"/>
      <w:bookmarkEnd w:id="25"/>
      <w:proofErr w:type="spellEnd"/>
    </w:p>
    <w:p w:rsidR="00E9376C" w:rsidRPr="00443BE4" w:rsidRDefault="00E9376C" w:rsidP="00720557">
      <w:pPr>
        <w:autoSpaceDE w:val="0"/>
        <w:autoSpaceDN w:val="0"/>
        <w:adjustRightInd w:val="0"/>
        <w:spacing w:after="0"/>
        <w:rPr>
          <w:szCs w:val="20"/>
        </w:rPr>
      </w:pPr>
      <w:r w:rsidRPr="00B97F10">
        <w:rPr>
          <w:szCs w:val="20"/>
        </w:rPr>
        <w:t xml:space="preserve">Al fine di permettere l’esecuzione delle misure deliberate per il superamento di una condizione di “crisi”, anche in presenza di una condizione di anomalia da un punto di vista della continuità operativa, il Responsabile </w:t>
      </w:r>
      <w:r w:rsidR="00E40816" w:rsidRPr="00B97F10">
        <w:rPr>
          <w:szCs w:val="20"/>
        </w:rPr>
        <w:t>della Funzione</w:t>
      </w:r>
      <w:r w:rsidR="00866B55" w:rsidRPr="00B97F10">
        <w:rPr>
          <w:szCs w:val="20"/>
        </w:rPr>
        <w:t xml:space="preserve"> Risk Management</w:t>
      </w:r>
      <w:r w:rsidRPr="00B97F10">
        <w:rPr>
          <w:szCs w:val="20"/>
        </w:rPr>
        <w:t xml:space="preserve"> ed il Responsabile del “Piano di </w:t>
      </w:r>
      <w:r w:rsidRPr="00B97F10">
        <w:rPr>
          <w:rFonts w:cs="Arial"/>
          <w:i/>
          <w:szCs w:val="20"/>
          <w:lang w:eastAsia="it-IT"/>
        </w:rPr>
        <w:t xml:space="preserve">Business </w:t>
      </w:r>
      <w:proofErr w:type="spellStart"/>
      <w:r w:rsidRPr="00B97F10">
        <w:rPr>
          <w:rFonts w:cs="Arial"/>
          <w:i/>
          <w:szCs w:val="20"/>
          <w:lang w:eastAsia="it-IT"/>
        </w:rPr>
        <w:t>Continuity</w:t>
      </w:r>
      <w:proofErr w:type="spellEnd"/>
      <w:r w:rsidRPr="00B97F10">
        <w:rPr>
          <w:szCs w:val="20"/>
        </w:rPr>
        <w:t>”</w:t>
      </w:r>
      <w:r w:rsidRPr="00B97F10">
        <w:rPr>
          <w:rStyle w:val="Rimandonotaapidipagina"/>
          <w:rFonts w:ascii="Cambria" w:hAnsi="Cambria"/>
          <w:szCs w:val="20"/>
        </w:rPr>
        <w:footnoteReference w:id="2"/>
      </w:r>
      <w:r w:rsidRPr="00B97F10">
        <w:rPr>
          <w:szCs w:val="20"/>
        </w:rPr>
        <w:t xml:space="preserve"> </w:t>
      </w:r>
      <w:r w:rsidRPr="00B97F10">
        <w:rPr>
          <w:rFonts w:cs="Arial"/>
          <w:szCs w:val="20"/>
          <w:lang w:eastAsia="it-IT"/>
        </w:rPr>
        <w:t>(</w:t>
      </w:r>
      <w:r w:rsidRPr="00B97F10">
        <w:rPr>
          <w:rFonts w:cs="Arial"/>
          <w:i/>
          <w:szCs w:val="20"/>
          <w:lang w:eastAsia="it-IT"/>
        </w:rPr>
        <w:t xml:space="preserve">Business </w:t>
      </w:r>
      <w:proofErr w:type="spellStart"/>
      <w:r w:rsidRPr="00B97F10">
        <w:rPr>
          <w:rFonts w:cs="Arial"/>
          <w:i/>
          <w:szCs w:val="20"/>
          <w:lang w:eastAsia="it-IT"/>
        </w:rPr>
        <w:t>Continuity</w:t>
      </w:r>
      <w:proofErr w:type="spellEnd"/>
      <w:r w:rsidRPr="00B97F10">
        <w:rPr>
          <w:rFonts w:cs="Arial"/>
          <w:i/>
          <w:szCs w:val="20"/>
          <w:lang w:eastAsia="it-IT"/>
        </w:rPr>
        <w:t xml:space="preserve"> Manager</w:t>
      </w:r>
      <w:r w:rsidRPr="00B97F10">
        <w:rPr>
          <w:rFonts w:cs="Arial"/>
          <w:szCs w:val="20"/>
          <w:lang w:eastAsia="it-IT"/>
        </w:rPr>
        <w:t>)</w:t>
      </w:r>
      <w:r w:rsidRPr="00B97F10">
        <w:rPr>
          <w:szCs w:val="20"/>
        </w:rPr>
        <w:t xml:space="preserve"> assicurano il coordinamento delle misure adottate e dei team di risoluzione impegnati su differenti fronti.</w:t>
      </w:r>
    </w:p>
    <w:p w:rsidR="00E9376C" w:rsidRPr="00AD1DC8" w:rsidRDefault="00E9376C" w:rsidP="00720557"/>
    <w:p w:rsidR="00E9376C" w:rsidRPr="009A7060" w:rsidRDefault="00E9376C" w:rsidP="00E40816">
      <w:pPr>
        <w:pStyle w:val="Titolo1"/>
        <w:numPr>
          <w:ilvl w:val="0"/>
          <w:numId w:val="31"/>
        </w:numPr>
      </w:pPr>
      <w:bookmarkStart w:id="26" w:name="_Toc300303616"/>
      <w:bookmarkStart w:id="27" w:name="_Toc305066061"/>
      <w:bookmarkStart w:id="28" w:name="_Toc316654615"/>
      <w:bookmarkStart w:id="29" w:name="_Toc453712273"/>
      <w:r w:rsidRPr="009A7060">
        <w:t>Aggiornamento e revisione del CFP</w:t>
      </w:r>
      <w:bookmarkEnd w:id="26"/>
      <w:bookmarkEnd w:id="27"/>
      <w:bookmarkEnd w:id="28"/>
      <w:bookmarkEnd w:id="29"/>
    </w:p>
    <w:p w:rsidR="00E9376C" w:rsidRDefault="00E40816" w:rsidP="00720557">
      <w:r w:rsidRPr="00B97F10">
        <w:t>La Funzione</w:t>
      </w:r>
      <w:r w:rsidR="00E9376C" w:rsidRPr="00B97F10">
        <w:t xml:space="preserve"> Risk Management sottopone a revisione</w:t>
      </w:r>
      <w:r w:rsidR="00A10A28" w:rsidRPr="00B97F10">
        <w:t xml:space="preserve"> il CFP</w:t>
      </w:r>
      <w:r w:rsidR="00E9376C" w:rsidRPr="00B97F10">
        <w:t xml:space="preserve"> </w:t>
      </w:r>
      <w:r w:rsidR="00A10A28" w:rsidRPr="00B97F10">
        <w:t>almeno una volta nel corso dell’anno</w:t>
      </w:r>
      <w:r w:rsidR="00A10A28" w:rsidRPr="00B97F10">
        <w:rPr>
          <w:color w:val="FF0000"/>
        </w:rPr>
        <w:t xml:space="preserve"> </w:t>
      </w:r>
      <w:r w:rsidR="00E9376C" w:rsidRPr="00B97F10">
        <w:t xml:space="preserve">nonché con frequenza maggiore in presenza di specifiche esigenze al fine di tener conto dell’evoluzione della struttura organizzativa </w:t>
      </w:r>
      <w:r w:rsidR="00866B55" w:rsidRPr="00B97F10">
        <w:t>del Confidi</w:t>
      </w:r>
      <w:r w:rsidR="00E9376C" w:rsidRPr="00B97F10">
        <w:t>, dell’operatività rilevante e delle condizioni di mercato</w:t>
      </w:r>
      <w:r w:rsidR="00A10A28" w:rsidRPr="00B97F10">
        <w:t xml:space="preserve"> e qualora ritenuto necessario </w:t>
      </w:r>
      <w:r w:rsidR="003D2738" w:rsidRPr="00B97F10">
        <w:t>propone l’aggiornamento dello stesso</w:t>
      </w:r>
      <w:r w:rsidR="00E9376C" w:rsidRPr="00B97F10">
        <w:t>.</w:t>
      </w:r>
      <w:r w:rsidR="00E9376C">
        <w:t xml:space="preserve"> </w:t>
      </w:r>
      <w:r w:rsidR="00E9376C" w:rsidRPr="00B97F10">
        <w:t xml:space="preserve">In tale attività </w:t>
      </w:r>
      <w:r w:rsidRPr="00B97F10">
        <w:t>la Funzione</w:t>
      </w:r>
      <w:r w:rsidR="00E9376C" w:rsidRPr="00B97F10">
        <w:t xml:space="preserve"> Risk Management è </w:t>
      </w:r>
      <w:r w:rsidRPr="00B97F10">
        <w:t>supportata</w:t>
      </w:r>
      <w:r w:rsidR="00E9376C" w:rsidRPr="00B97F10">
        <w:t xml:space="preserve"> </w:t>
      </w:r>
      <w:r w:rsidR="00866B55" w:rsidRPr="00B97F10">
        <w:t>dall’Area Amministrazione e Finanza</w:t>
      </w:r>
      <w:r w:rsidR="00E9376C" w:rsidRPr="00B97F10">
        <w:t xml:space="preserve"> e dall’Ufficio Organizzazione. L’aggiornamento e revisione del CFP può prevedere anche una “verifica”, pianificata </w:t>
      </w:r>
      <w:r w:rsidRPr="00B97F10">
        <w:t>dalla Funzione</w:t>
      </w:r>
      <w:r w:rsidR="00E9376C" w:rsidRPr="00B97F10">
        <w:t xml:space="preserve"> Risk Management, delle potenziali azioni ricomprese nel piano, al fine di assicurarne la fattibilità operativa.</w:t>
      </w:r>
    </w:p>
    <w:p w:rsidR="00E9376C" w:rsidRPr="00B97F10" w:rsidRDefault="00E9376C" w:rsidP="00720557">
      <w:pPr>
        <w:rPr>
          <w:szCs w:val="20"/>
        </w:rPr>
      </w:pPr>
      <w:r w:rsidRPr="00B97F10">
        <w:t xml:space="preserve">Nell’ambito </w:t>
      </w:r>
      <w:r w:rsidRPr="00B97F10">
        <w:rPr>
          <w:szCs w:val="20"/>
        </w:rPr>
        <w:t xml:space="preserve">dell’attività di aggiornamento e revisione del </w:t>
      </w:r>
      <w:r w:rsidR="008C316F" w:rsidRPr="00B97F10">
        <w:rPr>
          <w:szCs w:val="20"/>
        </w:rPr>
        <w:t>CFP</w:t>
      </w:r>
      <w:r w:rsidRPr="00B97F10">
        <w:rPr>
          <w:szCs w:val="20"/>
        </w:rPr>
        <w:t xml:space="preserve"> è verificata l’adeguatezza:</w:t>
      </w:r>
    </w:p>
    <w:p w:rsidR="00E9376C" w:rsidRPr="00B97F10" w:rsidRDefault="00E9376C" w:rsidP="00720557">
      <w:pPr>
        <w:pStyle w:val="Sommario7"/>
        <w:numPr>
          <w:ilvl w:val="0"/>
          <w:numId w:val="37"/>
        </w:numPr>
        <w:tabs>
          <w:tab w:val="right" w:pos="9355"/>
        </w:tabs>
        <w:jc w:val="both"/>
        <w:rPr>
          <w:rFonts w:ascii="Cambria" w:hAnsi="Cambria"/>
          <w:sz w:val="22"/>
          <w:szCs w:val="22"/>
        </w:rPr>
      </w:pPr>
      <w:r w:rsidRPr="00B97F10">
        <w:rPr>
          <w:rFonts w:ascii="Cambria" w:hAnsi="Cambria"/>
          <w:sz w:val="22"/>
          <w:szCs w:val="22"/>
        </w:rPr>
        <w:t>dei ruoli e delle responsabilità attribuite a ciascun soggetto coinvolto a seguito dell’attivazione del piano di emergenza;</w:t>
      </w:r>
    </w:p>
    <w:p w:rsidR="00E9376C" w:rsidRPr="00B97F10" w:rsidRDefault="00E9376C" w:rsidP="00720557">
      <w:pPr>
        <w:pStyle w:val="Sommario7"/>
        <w:numPr>
          <w:ilvl w:val="0"/>
          <w:numId w:val="37"/>
        </w:numPr>
        <w:tabs>
          <w:tab w:val="right" w:pos="9355"/>
        </w:tabs>
        <w:jc w:val="both"/>
        <w:rPr>
          <w:rFonts w:ascii="Cambria" w:hAnsi="Cambria"/>
          <w:sz w:val="22"/>
          <w:szCs w:val="22"/>
        </w:rPr>
      </w:pPr>
      <w:r w:rsidRPr="00B97F10">
        <w:rPr>
          <w:rFonts w:ascii="Cambria" w:hAnsi="Cambria"/>
          <w:sz w:val="22"/>
          <w:szCs w:val="22"/>
        </w:rPr>
        <w:t>del procedimento da adottare per la dichiarazione dello stato di “crisi”;</w:t>
      </w:r>
    </w:p>
    <w:p w:rsidR="00E9376C" w:rsidRPr="00B97F10" w:rsidRDefault="00E9376C" w:rsidP="00720557">
      <w:pPr>
        <w:pStyle w:val="Sommario7"/>
        <w:numPr>
          <w:ilvl w:val="0"/>
          <w:numId w:val="37"/>
        </w:numPr>
        <w:tabs>
          <w:tab w:val="right" w:pos="9355"/>
        </w:tabs>
        <w:jc w:val="both"/>
        <w:rPr>
          <w:rFonts w:ascii="Cambria" w:hAnsi="Cambria"/>
          <w:sz w:val="22"/>
          <w:szCs w:val="22"/>
        </w:rPr>
      </w:pPr>
      <w:r w:rsidRPr="00B97F10">
        <w:rPr>
          <w:rFonts w:ascii="Cambria" w:hAnsi="Cambria"/>
          <w:sz w:val="22"/>
          <w:szCs w:val="22"/>
        </w:rPr>
        <w:lastRenderedPageBreak/>
        <w:t>della eventuale documentazione, da un punto di vista legale e operativo, necessaria all’attuazione delle azioni di mitigazione;</w:t>
      </w:r>
    </w:p>
    <w:p w:rsidR="00E9376C" w:rsidRPr="00B97F10" w:rsidRDefault="00E9376C" w:rsidP="00720557">
      <w:pPr>
        <w:pStyle w:val="Sommario7"/>
        <w:numPr>
          <w:ilvl w:val="0"/>
          <w:numId w:val="37"/>
        </w:numPr>
        <w:tabs>
          <w:tab w:val="right" w:pos="9355"/>
        </w:tabs>
        <w:jc w:val="both"/>
        <w:rPr>
          <w:rFonts w:ascii="Cambria" w:hAnsi="Cambria"/>
          <w:sz w:val="22"/>
          <w:szCs w:val="22"/>
        </w:rPr>
      </w:pPr>
      <w:r w:rsidRPr="00B97F10">
        <w:rPr>
          <w:rFonts w:ascii="Cambria" w:hAnsi="Cambria"/>
          <w:sz w:val="22"/>
          <w:szCs w:val="22"/>
        </w:rPr>
        <w:t>delle principali assunzioni relative alla stima delle disponibilità liquide drenabili in uno stato di “crisi” con riferimento alle differenti fonti di finanziamento nonché ai tempi previsti dal piano.</w:t>
      </w:r>
    </w:p>
    <w:p w:rsidR="00E9376C" w:rsidRDefault="00E9376C" w:rsidP="00720557">
      <w:pPr>
        <w:rPr>
          <w:szCs w:val="20"/>
        </w:rPr>
      </w:pPr>
    </w:p>
    <w:p w:rsidR="00E9376C" w:rsidRDefault="00E9376C" w:rsidP="00720557">
      <w:r w:rsidRPr="007262F7">
        <w:rPr>
          <w:szCs w:val="20"/>
        </w:rPr>
        <w:t xml:space="preserve">Nell’aggiornamento del </w:t>
      </w:r>
      <w:r w:rsidRPr="007262F7">
        <w:rPr>
          <w:i/>
          <w:szCs w:val="20"/>
        </w:rPr>
        <w:t>Contingency</w:t>
      </w:r>
      <w:r w:rsidRPr="007262F7">
        <w:rPr>
          <w:szCs w:val="20"/>
        </w:rPr>
        <w:t xml:space="preserve"> </w:t>
      </w:r>
      <w:r w:rsidRPr="007262F7">
        <w:rPr>
          <w:i/>
          <w:szCs w:val="20"/>
        </w:rPr>
        <w:t>Funding</w:t>
      </w:r>
      <w:r w:rsidRPr="007262F7">
        <w:rPr>
          <w:szCs w:val="20"/>
        </w:rPr>
        <w:t xml:space="preserve"> </w:t>
      </w:r>
      <w:r w:rsidRPr="007262F7">
        <w:rPr>
          <w:i/>
          <w:szCs w:val="20"/>
        </w:rPr>
        <w:t>Plan</w:t>
      </w:r>
      <w:r w:rsidRPr="007262F7">
        <w:rPr>
          <w:szCs w:val="20"/>
        </w:rPr>
        <w:t xml:space="preserve"> è necessario tener conto delle risultanze delle prove</w:t>
      </w:r>
      <w:r w:rsidRPr="007262F7">
        <w:t xml:space="preserve"> di stress.</w:t>
      </w:r>
    </w:p>
    <w:p w:rsidR="00E9376C" w:rsidRPr="007262F7" w:rsidRDefault="00E9376C" w:rsidP="00720557">
      <w:r w:rsidRPr="007262F7">
        <w:t xml:space="preserve">A fronte delle carenze riscontrate sono avviate le opportune azioni correttive (es. di carattere organizzativo, documentale, informatico, procedurale, etc.) individuando il responsabile dell’adeguamento ed i tempi previsti per l’attuazione. </w:t>
      </w:r>
      <w:r w:rsidR="00E40816" w:rsidRPr="007262F7">
        <w:t>La Funzione</w:t>
      </w:r>
      <w:r w:rsidRPr="007262F7">
        <w:t xml:space="preserve"> Risk Management assicura il monitoraggio e la verifica circa l’effettiva implementazione. I risultati delle attività di revisione e aggiornamento sono opportunamente documentati per iscritto e conservati a cura del </w:t>
      </w:r>
      <w:r w:rsidR="008C316F" w:rsidRPr="007262F7">
        <w:t xml:space="preserve">Responsabile </w:t>
      </w:r>
      <w:r w:rsidR="00E40816" w:rsidRPr="007262F7">
        <w:t>della Funzione</w:t>
      </w:r>
      <w:r w:rsidRPr="007262F7">
        <w:t xml:space="preserve"> Risk Management.</w:t>
      </w:r>
    </w:p>
    <w:p w:rsidR="00E9376C" w:rsidRDefault="00E9376C" w:rsidP="00720557">
      <w:r w:rsidRPr="007262F7">
        <w:t xml:space="preserve">Le modifiche riguardanti le </w:t>
      </w:r>
      <w:r w:rsidR="008C316F" w:rsidRPr="007262F7">
        <w:t xml:space="preserve">procedure sopra descritte e le </w:t>
      </w:r>
      <w:r w:rsidRPr="007262F7">
        <w:t xml:space="preserve">funzioni aziendali coinvolte nel </w:t>
      </w:r>
      <w:r w:rsidR="008C316F" w:rsidRPr="007262F7">
        <w:t>CFP</w:t>
      </w:r>
      <w:r w:rsidRPr="007262F7">
        <w:t xml:space="preserve"> con </w:t>
      </w:r>
      <w:r w:rsidR="008C316F" w:rsidRPr="007262F7">
        <w:t xml:space="preserve">specifico </w:t>
      </w:r>
      <w:r w:rsidRPr="007262F7">
        <w:t xml:space="preserve">riferimento al ruolo e alle responsabilità alle stesse attribuite sono in ogni caso sottoposte all’approvazione del Consiglio di Amministrazione. Di contro, le ulteriori modifiche </w:t>
      </w:r>
      <w:r w:rsidR="008C316F" w:rsidRPr="007262F7">
        <w:t xml:space="preserve">non sostanziali </w:t>
      </w:r>
      <w:r w:rsidRPr="007262F7">
        <w:t>sono approvate dal</w:t>
      </w:r>
      <w:r w:rsidR="00785452" w:rsidRPr="007262F7">
        <w:t xml:space="preserve">l’Amministratore Delegato </w:t>
      </w:r>
      <w:r w:rsidRPr="007262F7">
        <w:t xml:space="preserve">e rendicontate al Consiglio di Amministrazione almeno una volta all’anno in occasione </w:t>
      </w:r>
      <w:r w:rsidRPr="00AC3E6A">
        <w:t>dell’aggiornamento periodico.</w:t>
      </w:r>
    </w:p>
    <w:p w:rsidR="00E9376C" w:rsidRPr="002A5854" w:rsidRDefault="00E9376C" w:rsidP="00E40816">
      <w:pPr>
        <w:pStyle w:val="Titolo1"/>
        <w:numPr>
          <w:ilvl w:val="0"/>
          <w:numId w:val="31"/>
        </w:numPr>
      </w:pPr>
      <w:r>
        <w:br w:type="page"/>
      </w:r>
      <w:bookmarkStart w:id="30" w:name="_Toc300303617"/>
      <w:bookmarkStart w:id="31" w:name="_Toc305066062"/>
      <w:bookmarkStart w:id="32" w:name="_Toc316654616"/>
      <w:bookmarkStart w:id="33" w:name="_Toc453712274"/>
      <w:r w:rsidRPr="009A7060">
        <w:lastRenderedPageBreak/>
        <w:t xml:space="preserve"> </w:t>
      </w:r>
      <w:r w:rsidRPr="002A5854">
        <w:t>Riferimenti dei membri “Comitato</w:t>
      </w:r>
      <w:bookmarkEnd w:id="30"/>
      <w:bookmarkEnd w:id="31"/>
      <w:r w:rsidRPr="002A5854">
        <w:t>”</w:t>
      </w:r>
      <w:bookmarkEnd w:id="32"/>
      <w:bookmarkEnd w:id="33"/>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127"/>
        <w:gridCol w:w="1700"/>
        <w:gridCol w:w="1698"/>
        <w:gridCol w:w="1153"/>
        <w:gridCol w:w="2961"/>
      </w:tblGrid>
      <w:tr w:rsidR="00E9376C" w:rsidRPr="009A7060" w:rsidTr="001955AE">
        <w:trPr>
          <w:tblCellSpacing w:w="20" w:type="dxa"/>
        </w:trPr>
        <w:tc>
          <w:tcPr>
            <w:tcW w:w="1076" w:type="pct"/>
            <w:shd w:val="clear" w:color="auto" w:fill="E6E6E6"/>
            <w:vAlign w:val="center"/>
          </w:tcPr>
          <w:p w:rsidR="00E9376C" w:rsidRPr="009A7060" w:rsidRDefault="00E9376C" w:rsidP="00F44538">
            <w:pPr>
              <w:spacing w:after="0" w:line="240" w:lineRule="auto"/>
              <w:jc w:val="center"/>
              <w:rPr>
                <w:rFonts w:cs="Arial"/>
                <w:b/>
                <w:sz w:val="18"/>
                <w:szCs w:val="18"/>
              </w:rPr>
            </w:pPr>
            <w:r w:rsidRPr="009A7060">
              <w:rPr>
                <w:rFonts w:cs="Arial"/>
                <w:b/>
                <w:sz w:val="18"/>
                <w:szCs w:val="18"/>
              </w:rPr>
              <w:t>Funzione</w:t>
            </w:r>
          </w:p>
        </w:tc>
        <w:tc>
          <w:tcPr>
            <w:tcW w:w="864" w:type="pct"/>
            <w:shd w:val="clear" w:color="auto" w:fill="E6E6E6"/>
            <w:vAlign w:val="center"/>
          </w:tcPr>
          <w:p w:rsidR="00E9376C" w:rsidRPr="009A7060" w:rsidRDefault="00E9376C" w:rsidP="00F44538">
            <w:pPr>
              <w:spacing w:after="0" w:line="240" w:lineRule="auto"/>
              <w:jc w:val="center"/>
              <w:rPr>
                <w:rFonts w:cs="Arial"/>
                <w:b/>
                <w:sz w:val="18"/>
                <w:szCs w:val="18"/>
              </w:rPr>
            </w:pPr>
            <w:r w:rsidRPr="009A7060">
              <w:rPr>
                <w:rFonts w:cs="Arial"/>
                <w:b/>
                <w:sz w:val="18"/>
                <w:szCs w:val="18"/>
              </w:rPr>
              <w:t>Cognome Nome</w:t>
            </w:r>
          </w:p>
        </w:tc>
        <w:tc>
          <w:tcPr>
            <w:tcW w:w="863" w:type="pct"/>
            <w:shd w:val="clear" w:color="auto" w:fill="E6E6E6"/>
            <w:vAlign w:val="center"/>
          </w:tcPr>
          <w:p w:rsidR="00E9376C" w:rsidRPr="009A7060" w:rsidRDefault="00E9376C" w:rsidP="00F44538">
            <w:pPr>
              <w:spacing w:after="0" w:line="240" w:lineRule="auto"/>
              <w:jc w:val="center"/>
              <w:rPr>
                <w:rFonts w:cs="Arial"/>
                <w:b/>
                <w:sz w:val="18"/>
                <w:szCs w:val="18"/>
              </w:rPr>
            </w:pPr>
            <w:r w:rsidRPr="009A7060">
              <w:rPr>
                <w:rFonts w:cs="Arial"/>
                <w:b/>
                <w:sz w:val="18"/>
                <w:szCs w:val="18"/>
              </w:rPr>
              <w:t>Locazione</w:t>
            </w:r>
          </w:p>
        </w:tc>
        <w:tc>
          <w:tcPr>
            <w:tcW w:w="2089" w:type="pct"/>
            <w:gridSpan w:val="2"/>
            <w:shd w:val="clear" w:color="auto" w:fill="E6E6E6"/>
            <w:vAlign w:val="center"/>
          </w:tcPr>
          <w:p w:rsidR="00E9376C" w:rsidRPr="009A7060" w:rsidRDefault="00E9376C" w:rsidP="00F44538">
            <w:pPr>
              <w:spacing w:after="0" w:line="240" w:lineRule="auto"/>
              <w:jc w:val="center"/>
              <w:rPr>
                <w:rFonts w:cs="Arial"/>
                <w:b/>
                <w:sz w:val="18"/>
                <w:szCs w:val="18"/>
              </w:rPr>
            </w:pPr>
            <w:r w:rsidRPr="009A7060">
              <w:rPr>
                <w:rFonts w:cs="Arial"/>
                <w:b/>
                <w:sz w:val="18"/>
                <w:szCs w:val="18"/>
              </w:rPr>
              <w:t>Riferimenti</w:t>
            </w:r>
          </w:p>
        </w:tc>
      </w:tr>
      <w:tr w:rsidR="001955AE" w:rsidRPr="009A7060" w:rsidTr="001955AE">
        <w:trPr>
          <w:trHeight w:val="57"/>
          <w:tblCellSpacing w:w="20" w:type="dxa"/>
        </w:trPr>
        <w:tc>
          <w:tcPr>
            <w:tcW w:w="1076" w:type="pct"/>
            <w:vMerge w:val="restart"/>
            <w:shd w:val="clear" w:color="auto" w:fill="auto"/>
            <w:vAlign w:val="center"/>
          </w:tcPr>
          <w:p w:rsidR="00E9376C" w:rsidRPr="009A7060" w:rsidRDefault="001955AE" w:rsidP="00F44538">
            <w:pPr>
              <w:spacing w:after="0" w:line="240" w:lineRule="auto"/>
              <w:jc w:val="center"/>
              <w:rPr>
                <w:rFonts w:cs="Arial"/>
                <w:sz w:val="18"/>
                <w:szCs w:val="18"/>
              </w:rPr>
            </w:pPr>
            <w:r>
              <w:rPr>
                <w:rFonts w:cs="Arial"/>
                <w:sz w:val="18"/>
                <w:szCs w:val="18"/>
              </w:rPr>
              <w:t>Presidente del Consiglio di Amministrazione</w:t>
            </w:r>
          </w:p>
        </w:tc>
        <w:tc>
          <w:tcPr>
            <w:tcW w:w="864" w:type="pct"/>
            <w:vMerge w:val="restart"/>
            <w:shd w:val="clear" w:color="auto" w:fill="auto"/>
            <w:vAlign w:val="center"/>
          </w:tcPr>
          <w:p w:rsidR="00E9376C" w:rsidRPr="009A7060" w:rsidRDefault="00E9376C" w:rsidP="00F44538">
            <w:pPr>
              <w:spacing w:after="0" w:line="240" w:lineRule="auto"/>
              <w:jc w:val="center"/>
              <w:rPr>
                <w:rFonts w:cs="Arial"/>
                <w:sz w:val="18"/>
                <w:szCs w:val="18"/>
                <w:lang w:val="en-GB"/>
              </w:rPr>
            </w:pPr>
          </w:p>
        </w:tc>
        <w:tc>
          <w:tcPr>
            <w:tcW w:w="863" w:type="pct"/>
            <w:vMerge w:val="restart"/>
            <w:shd w:val="clear" w:color="auto" w:fill="auto"/>
            <w:vAlign w:val="center"/>
          </w:tcPr>
          <w:p w:rsidR="00E9376C" w:rsidRPr="009A7060" w:rsidRDefault="00E9376C" w:rsidP="00F44538">
            <w:pPr>
              <w:spacing w:after="0" w:line="240" w:lineRule="auto"/>
              <w:jc w:val="center"/>
              <w:rPr>
                <w:rFonts w:cs="Arial"/>
                <w:sz w:val="18"/>
                <w:szCs w:val="18"/>
              </w:rPr>
            </w:pPr>
          </w:p>
        </w:tc>
        <w:tc>
          <w:tcPr>
            <w:tcW w:w="579" w:type="pct"/>
            <w:shd w:val="clear" w:color="auto" w:fill="auto"/>
            <w:vAlign w:val="center"/>
          </w:tcPr>
          <w:p w:rsidR="00E9376C" w:rsidRPr="009A7060" w:rsidRDefault="00E9376C" w:rsidP="00F44538">
            <w:pPr>
              <w:spacing w:after="0" w:line="240" w:lineRule="auto"/>
              <w:jc w:val="left"/>
              <w:rPr>
                <w:rFonts w:cs="Arial"/>
                <w:sz w:val="18"/>
                <w:szCs w:val="18"/>
              </w:rPr>
            </w:pPr>
            <w:r w:rsidRPr="009A7060">
              <w:rPr>
                <w:rFonts w:cs="Arial"/>
                <w:sz w:val="18"/>
                <w:szCs w:val="18"/>
              </w:rPr>
              <w:t>Tel uff.</w:t>
            </w:r>
          </w:p>
        </w:tc>
        <w:tc>
          <w:tcPr>
            <w:tcW w:w="1489" w:type="pct"/>
            <w:shd w:val="clear" w:color="auto" w:fill="auto"/>
            <w:vAlign w:val="center"/>
          </w:tcPr>
          <w:p w:rsidR="00E9376C" w:rsidRPr="009A7060" w:rsidRDefault="00E9376C" w:rsidP="00F44538">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E9376C" w:rsidRPr="009A7060" w:rsidRDefault="00E9376C" w:rsidP="00F44538">
            <w:pPr>
              <w:spacing w:after="0" w:line="240" w:lineRule="auto"/>
              <w:jc w:val="center"/>
              <w:rPr>
                <w:rFonts w:cs="Arial"/>
                <w:sz w:val="18"/>
                <w:szCs w:val="18"/>
              </w:rPr>
            </w:pPr>
          </w:p>
        </w:tc>
        <w:tc>
          <w:tcPr>
            <w:tcW w:w="864" w:type="pct"/>
            <w:vMerge/>
            <w:shd w:val="clear" w:color="auto" w:fill="auto"/>
            <w:vAlign w:val="center"/>
          </w:tcPr>
          <w:p w:rsidR="00E9376C" w:rsidRPr="009A7060" w:rsidRDefault="00E9376C" w:rsidP="00F44538">
            <w:pPr>
              <w:spacing w:after="0" w:line="240" w:lineRule="auto"/>
              <w:jc w:val="center"/>
              <w:rPr>
                <w:rFonts w:cs="Arial"/>
                <w:sz w:val="18"/>
                <w:szCs w:val="18"/>
                <w:highlight w:val="green"/>
                <w:lang w:val="en-GB"/>
              </w:rPr>
            </w:pPr>
          </w:p>
        </w:tc>
        <w:tc>
          <w:tcPr>
            <w:tcW w:w="863" w:type="pct"/>
            <w:vMerge/>
            <w:shd w:val="clear" w:color="auto" w:fill="auto"/>
            <w:vAlign w:val="center"/>
          </w:tcPr>
          <w:p w:rsidR="00E9376C" w:rsidRPr="009A7060" w:rsidRDefault="00E9376C" w:rsidP="00F44538">
            <w:pPr>
              <w:spacing w:after="0" w:line="240" w:lineRule="auto"/>
              <w:jc w:val="center"/>
              <w:rPr>
                <w:rFonts w:cs="Arial"/>
                <w:sz w:val="18"/>
                <w:szCs w:val="18"/>
              </w:rPr>
            </w:pPr>
          </w:p>
        </w:tc>
        <w:tc>
          <w:tcPr>
            <w:tcW w:w="579" w:type="pct"/>
            <w:shd w:val="clear" w:color="auto" w:fill="auto"/>
            <w:vAlign w:val="center"/>
          </w:tcPr>
          <w:p w:rsidR="00E9376C" w:rsidRPr="009A7060" w:rsidRDefault="00E9376C" w:rsidP="00F44538">
            <w:pPr>
              <w:spacing w:after="0" w:line="240" w:lineRule="auto"/>
              <w:jc w:val="left"/>
              <w:rPr>
                <w:rFonts w:cs="Arial"/>
                <w:sz w:val="18"/>
                <w:szCs w:val="18"/>
              </w:rPr>
            </w:pPr>
            <w:r w:rsidRPr="009A7060">
              <w:rPr>
                <w:rFonts w:cs="Arial"/>
                <w:sz w:val="18"/>
                <w:szCs w:val="18"/>
              </w:rPr>
              <w:t>Cellulare</w:t>
            </w:r>
          </w:p>
        </w:tc>
        <w:tc>
          <w:tcPr>
            <w:tcW w:w="1489" w:type="pct"/>
            <w:shd w:val="clear" w:color="auto" w:fill="auto"/>
            <w:vAlign w:val="center"/>
          </w:tcPr>
          <w:p w:rsidR="00E9376C" w:rsidRPr="009A7060" w:rsidRDefault="00E9376C" w:rsidP="00F44538">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E9376C" w:rsidRPr="009A7060" w:rsidRDefault="00E9376C" w:rsidP="00F44538">
            <w:pPr>
              <w:spacing w:after="0" w:line="240" w:lineRule="auto"/>
              <w:jc w:val="center"/>
              <w:rPr>
                <w:rFonts w:cs="Arial"/>
                <w:sz w:val="18"/>
                <w:szCs w:val="18"/>
              </w:rPr>
            </w:pPr>
          </w:p>
        </w:tc>
        <w:tc>
          <w:tcPr>
            <w:tcW w:w="864" w:type="pct"/>
            <w:vMerge/>
            <w:shd w:val="clear" w:color="auto" w:fill="auto"/>
            <w:vAlign w:val="center"/>
          </w:tcPr>
          <w:p w:rsidR="00E9376C" w:rsidRPr="009A7060" w:rsidRDefault="00E9376C" w:rsidP="00F44538">
            <w:pPr>
              <w:spacing w:after="0" w:line="240" w:lineRule="auto"/>
              <w:jc w:val="center"/>
              <w:rPr>
                <w:rFonts w:cs="Arial"/>
                <w:sz w:val="18"/>
                <w:szCs w:val="18"/>
              </w:rPr>
            </w:pPr>
          </w:p>
        </w:tc>
        <w:tc>
          <w:tcPr>
            <w:tcW w:w="863" w:type="pct"/>
            <w:vMerge/>
            <w:shd w:val="clear" w:color="auto" w:fill="auto"/>
            <w:vAlign w:val="center"/>
          </w:tcPr>
          <w:p w:rsidR="00E9376C" w:rsidRPr="009A7060" w:rsidRDefault="00E9376C" w:rsidP="00F44538">
            <w:pPr>
              <w:spacing w:after="0" w:line="240" w:lineRule="auto"/>
              <w:jc w:val="center"/>
              <w:rPr>
                <w:rFonts w:cs="Arial"/>
                <w:sz w:val="18"/>
                <w:szCs w:val="18"/>
              </w:rPr>
            </w:pPr>
          </w:p>
        </w:tc>
        <w:tc>
          <w:tcPr>
            <w:tcW w:w="579" w:type="pct"/>
            <w:shd w:val="clear" w:color="auto" w:fill="auto"/>
            <w:vAlign w:val="center"/>
          </w:tcPr>
          <w:p w:rsidR="00E9376C" w:rsidRPr="009A7060" w:rsidRDefault="00E9376C" w:rsidP="00F44538">
            <w:pPr>
              <w:spacing w:after="0" w:line="240" w:lineRule="auto"/>
              <w:jc w:val="left"/>
              <w:rPr>
                <w:rFonts w:cs="Arial"/>
                <w:sz w:val="18"/>
                <w:szCs w:val="18"/>
              </w:rPr>
            </w:pPr>
            <w:r w:rsidRPr="009A7060">
              <w:rPr>
                <w:rFonts w:cs="Arial"/>
                <w:sz w:val="18"/>
                <w:szCs w:val="18"/>
              </w:rPr>
              <w:t>e-mail</w:t>
            </w:r>
          </w:p>
        </w:tc>
        <w:tc>
          <w:tcPr>
            <w:tcW w:w="1489" w:type="pct"/>
            <w:shd w:val="clear" w:color="auto" w:fill="auto"/>
            <w:vAlign w:val="center"/>
          </w:tcPr>
          <w:p w:rsidR="00E9376C" w:rsidRPr="009A7060" w:rsidRDefault="00E9376C" w:rsidP="00F44538">
            <w:pPr>
              <w:spacing w:after="0" w:line="240" w:lineRule="auto"/>
              <w:jc w:val="center"/>
              <w:rPr>
                <w:rFonts w:cs="Arial"/>
                <w:sz w:val="18"/>
                <w:szCs w:val="18"/>
              </w:rPr>
            </w:pPr>
          </w:p>
        </w:tc>
      </w:tr>
      <w:tr w:rsidR="001955AE" w:rsidRPr="009A7060" w:rsidTr="001955AE">
        <w:trPr>
          <w:trHeight w:val="57"/>
          <w:tblCellSpacing w:w="20" w:type="dxa"/>
        </w:trPr>
        <w:tc>
          <w:tcPr>
            <w:tcW w:w="1076"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r>
              <w:rPr>
                <w:rFonts w:cs="Arial"/>
                <w:sz w:val="18"/>
                <w:szCs w:val="18"/>
              </w:rPr>
              <w:t>Amministratore Delegato</w:t>
            </w:r>
          </w:p>
        </w:tc>
        <w:tc>
          <w:tcPr>
            <w:tcW w:w="864"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Tel uff.</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4"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Cellulare</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4"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e-mail</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r>
              <w:rPr>
                <w:rFonts w:cs="Arial"/>
                <w:sz w:val="18"/>
                <w:szCs w:val="18"/>
              </w:rPr>
              <w:t>Responsabile Funzione Risk Management</w:t>
            </w:r>
          </w:p>
        </w:tc>
        <w:tc>
          <w:tcPr>
            <w:tcW w:w="864"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Tel uff.</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4"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Cellulare</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4"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e-mail</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r>
              <w:rPr>
                <w:rFonts w:cs="Arial"/>
                <w:sz w:val="18"/>
                <w:szCs w:val="18"/>
              </w:rPr>
              <w:t xml:space="preserve">Responsabile </w:t>
            </w:r>
            <w:proofErr w:type="spellStart"/>
            <w:r>
              <w:rPr>
                <w:rFonts w:cs="Arial"/>
                <w:sz w:val="18"/>
                <w:szCs w:val="18"/>
              </w:rPr>
              <w:t>Internal</w:t>
            </w:r>
            <w:proofErr w:type="spellEnd"/>
            <w:r>
              <w:rPr>
                <w:rFonts w:cs="Arial"/>
                <w:sz w:val="18"/>
                <w:szCs w:val="18"/>
              </w:rPr>
              <w:t xml:space="preserve"> Auditing</w:t>
            </w:r>
          </w:p>
        </w:tc>
        <w:tc>
          <w:tcPr>
            <w:tcW w:w="864"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val="restart"/>
            <w:shd w:val="clear" w:color="auto" w:fill="auto"/>
            <w:vAlign w:val="center"/>
          </w:tcPr>
          <w:p w:rsidR="001955AE" w:rsidRPr="009A7060" w:rsidRDefault="001955AE" w:rsidP="001955AE">
            <w:pPr>
              <w:spacing w:after="0" w:line="240" w:lineRule="auto"/>
              <w:jc w:val="center"/>
              <w:rPr>
                <w:rFonts w:cs="Arial"/>
                <w:sz w:val="18"/>
                <w:szCs w:val="18"/>
                <w:highlight w:val="yellow"/>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Tel uff.</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4"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Cellulare</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4"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e-mail</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r>
              <w:rPr>
                <w:rFonts w:cs="Arial"/>
                <w:sz w:val="18"/>
                <w:szCs w:val="18"/>
              </w:rPr>
              <w:t>Responsabile Area Amministrazione e Finanza</w:t>
            </w:r>
          </w:p>
        </w:tc>
        <w:tc>
          <w:tcPr>
            <w:tcW w:w="864"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val="restart"/>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Tel uff.</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4"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Cellulare</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4"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863" w:type="pct"/>
            <w:vMerge/>
            <w:shd w:val="clear" w:color="auto" w:fill="auto"/>
            <w:vAlign w:val="center"/>
          </w:tcPr>
          <w:p w:rsidR="001955AE" w:rsidRPr="009A7060" w:rsidRDefault="001955AE" w:rsidP="001955AE">
            <w:pPr>
              <w:spacing w:after="0" w:line="240" w:lineRule="auto"/>
              <w:jc w:val="center"/>
              <w:rPr>
                <w:rFonts w:cs="Arial"/>
                <w:sz w:val="18"/>
                <w:szCs w:val="18"/>
              </w:rPr>
            </w:pPr>
          </w:p>
        </w:tc>
        <w:tc>
          <w:tcPr>
            <w:tcW w:w="579" w:type="pct"/>
            <w:shd w:val="clear" w:color="auto" w:fill="auto"/>
            <w:vAlign w:val="center"/>
          </w:tcPr>
          <w:p w:rsidR="001955AE" w:rsidRPr="009A7060" w:rsidRDefault="001955AE" w:rsidP="001955AE">
            <w:pPr>
              <w:spacing w:after="0" w:line="240" w:lineRule="auto"/>
              <w:jc w:val="center"/>
              <w:rPr>
                <w:rFonts w:cs="Arial"/>
                <w:sz w:val="18"/>
                <w:szCs w:val="18"/>
              </w:rPr>
            </w:pPr>
            <w:r w:rsidRPr="009A7060">
              <w:rPr>
                <w:rFonts w:cs="Arial"/>
                <w:sz w:val="18"/>
                <w:szCs w:val="18"/>
              </w:rPr>
              <w:t>e-mail</w:t>
            </w:r>
          </w:p>
        </w:tc>
        <w:tc>
          <w:tcPr>
            <w:tcW w:w="1489" w:type="pct"/>
            <w:shd w:val="clear" w:color="auto" w:fill="auto"/>
            <w:vAlign w:val="center"/>
          </w:tcPr>
          <w:p w:rsidR="001955AE" w:rsidRPr="009A7060" w:rsidRDefault="001955AE" w:rsidP="001955AE">
            <w:pPr>
              <w:spacing w:after="0" w:line="240" w:lineRule="auto"/>
              <w:jc w:val="center"/>
              <w:rPr>
                <w:rFonts w:cs="Arial"/>
                <w:sz w:val="18"/>
                <w:szCs w:val="18"/>
              </w:rPr>
            </w:pPr>
          </w:p>
        </w:tc>
      </w:tr>
      <w:tr w:rsidR="001955AE" w:rsidRPr="009A7060" w:rsidTr="001955AE">
        <w:trPr>
          <w:trHeight w:val="57"/>
          <w:tblCellSpacing w:w="20" w:type="dxa"/>
        </w:trPr>
        <w:tc>
          <w:tcPr>
            <w:tcW w:w="1076" w:type="pct"/>
            <w:vMerge w:val="restart"/>
            <w:shd w:val="clear" w:color="auto" w:fill="auto"/>
            <w:vAlign w:val="center"/>
          </w:tcPr>
          <w:p w:rsidR="00720557" w:rsidRPr="009A7060" w:rsidRDefault="001955AE" w:rsidP="00F44538">
            <w:pPr>
              <w:spacing w:after="0" w:line="240" w:lineRule="auto"/>
              <w:jc w:val="center"/>
              <w:rPr>
                <w:rFonts w:cs="Arial"/>
                <w:sz w:val="18"/>
                <w:szCs w:val="18"/>
              </w:rPr>
            </w:pPr>
            <w:r w:rsidRPr="001955AE">
              <w:rPr>
                <w:rFonts w:cs="Arial"/>
                <w:sz w:val="18"/>
                <w:szCs w:val="18"/>
              </w:rPr>
              <w:t>….</w:t>
            </w:r>
          </w:p>
        </w:tc>
        <w:tc>
          <w:tcPr>
            <w:tcW w:w="864" w:type="pct"/>
            <w:vMerge w:val="restart"/>
            <w:shd w:val="clear" w:color="auto" w:fill="auto"/>
            <w:vAlign w:val="center"/>
          </w:tcPr>
          <w:p w:rsidR="00720557" w:rsidRPr="009A7060" w:rsidRDefault="00720557" w:rsidP="00F44538">
            <w:pPr>
              <w:spacing w:after="0" w:line="240" w:lineRule="auto"/>
              <w:jc w:val="center"/>
              <w:rPr>
                <w:rFonts w:cs="Arial"/>
                <w:sz w:val="18"/>
                <w:szCs w:val="18"/>
              </w:rPr>
            </w:pPr>
          </w:p>
        </w:tc>
        <w:tc>
          <w:tcPr>
            <w:tcW w:w="863" w:type="pct"/>
            <w:vMerge w:val="restart"/>
            <w:shd w:val="clear" w:color="auto" w:fill="auto"/>
            <w:vAlign w:val="center"/>
          </w:tcPr>
          <w:p w:rsidR="00720557" w:rsidRPr="009A7060" w:rsidRDefault="00720557" w:rsidP="00F44538">
            <w:pPr>
              <w:spacing w:after="0" w:line="240" w:lineRule="auto"/>
              <w:jc w:val="center"/>
              <w:rPr>
                <w:rFonts w:cs="Arial"/>
                <w:sz w:val="18"/>
                <w:szCs w:val="18"/>
              </w:rPr>
            </w:pPr>
          </w:p>
        </w:tc>
        <w:tc>
          <w:tcPr>
            <w:tcW w:w="579" w:type="pct"/>
            <w:shd w:val="clear" w:color="auto" w:fill="auto"/>
            <w:vAlign w:val="center"/>
          </w:tcPr>
          <w:p w:rsidR="00720557" w:rsidRPr="009A7060" w:rsidRDefault="00720557" w:rsidP="00F44538">
            <w:pPr>
              <w:spacing w:after="0" w:line="240" w:lineRule="auto"/>
              <w:jc w:val="center"/>
              <w:rPr>
                <w:rFonts w:cs="Arial"/>
                <w:sz w:val="18"/>
                <w:szCs w:val="18"/>
              </w:rPr>
            </w:pPr>
          </w:p>
        </w:tc>
        <w:tc>
          <w:tcPr>
            <w:tcW w:w="1489" w:type="pct"/>
            <w:shd w:val="clear" w:color="auto" w:fill="auto"/>
            <w:vAlign w:val="center"/>
          </w:tcPr>
          <w:p w:rsidR="00720557" w:rsidRPr="009A7060" w:rsidRDefault="00720557" w:rsidP="00F44538">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720557" w:rsidRPr="009A7060" w:rsidRDefault="00720557" w:rsidP="00F44538">
            <w:pPr>
              <w:spacing w:after="0" w:line="240" w:lineRule="auto"/>
              <w:jc w:val="center"/>
              <w:rPr>
                <w:rFonts w:cs="Arial"/>
                <w:sz w:val="18"/>
                <w:szCs w:val="18"/>
              </w:rPr>
            </w:pPr>
          </w:p>
        </w:tc>
        <w:tc>
          <w:tcPr>
            <w:tcW w:w="864" w:type="pct"/>
            <w:vMerge/>
            <w:shd w:val="clear" w:color="auto" w:fill="auto"/>
            <w:vAlign w:val="center"/>
          </w:tcPr>
          <w:p w:rsidR="00720557" w:rsidRPr="009A7060" w:rsidRDefault="00720557" w:rsidP="00F44538">
            <w:pPr>
              <w:spacing w:after="0" w:line="240" w:lineRule="auto"/>
              <w:jc w:val="center"/>
              <w:rPr>
                <w:rFonts w:cs="Arial"/>
                <w:sz w:val="18"/>
                <w:szCs w:val="18"/>
              </w:rPr>
            </w:pPr>
          </w:p>
        </w:tc>
        <w:tc>
          <w:tcPr>
            <w:tcW w:w="863" w:type="pct"/>
            <w:vMerge/>
            <w:shd w:val="clear" w:color="auto" w:fill="auto"/>
            <w:vAlign w:val="center"/>
          </w:tcPr>
          <w:p w:rsidR="00720557" w:rsidRPr="009A7060" w:rsidRDefault="00720557" w:rsidP="00F44538">
            <w:pPr>
              <w:spacing w:after="0" w:line="240" w:lineRule="auto"/>
              <w:jc w:val="center"/>
              <w:rPr>
                <w:rFonts w:cs="Arial"/>
                <w:sz w:val="18"/>
                <w:szCs w:val="18"/>
              </w:rPr>
            </w:pPr>
          </w:p>
        </w:tc>
        <w:tc>
          <w:tcPr>
            <w:tcW w:w="579" w:type="pct"/>
            <w:shd w:val="clear" w:color="auto" w:fill="auto"/>
            <w:vAlign w:val="center"/>
          </w:tcPr>
          <w:p w:rsidR="00720557" w:rsidRPr="009A7060" w:rsidRDefault="00720557" w:rsidP="00F44538">
            <w:pPr>
              <w:spacing w:after="0" w:line="240" w:lineRule="auto"/>
              <w:jc w:val="center"/>
              <w:rPr>
                <w:rFonts w:cs="Arial"/>
                <w:sz w:val="18"/>
                <w:szCs w:val="18"/>
              </w:rPr>
            </w:pPr>
          </w:p>
        </w:tc>
        <w:tc>
          <w:tcPr>
            <w:tcW w:w="1489" w:type="pct"/>
            <w:shd w:val="clear" w:color="auto" w:fill="auto"/>
            <w:vAlign w:val="center"/>
          </w:tcPr>
          <w:p w:rsidR="00720557" w:rsidRPr="009A7060" w:rsidRDefault="00720557" w:rsidP="00F44538">
            <w:pPr>
              <w:spacing w:after="0" w:line="240" w:lineRule="auto"/>
              <w:jc w:val="center"/>
              <w:rPr>
                <w:rFonts w:cs="Arial"/>
                <w:sz w:val="18"/>
                <w:szCs w:val="18"/>
              </w:rPr>
            </w:pPr>
          </w:p>
        </w:tc>
      </w:tr>
      <w:tr w:rsidR="001955AE" w:rsidRPr="009A7060" w:rsidTr="001955AE">
        <w:trPr>
          <w:trHeight w:val="57"/>
          <w:tblCellSpacing w:w="20" w:type="dxa"/>
        </w:trPr>
        <w:tc>
          <w:tcPr>
            <w:tcW w:w="1076" w:type="pct"/>
            <w:vMerge/>
            <w:shd w:val="clear" w:color="auto" w:fill="auto"/>
            <w:vAlign w:val="center"/>
          </w:tcPr>
          <w:p w:rsidR="00720557" w:rsidRPr="009A7060" w:rsidRDefault="00720557" w:rsidP="00F44538">
            <w:pPr>
              <w:spacing w:after="0" w:line="240" w:lineRule="auto"/>
              <w:jc w:val="center"/>
              <w:rPr>
                <w:rFonts w:cs="Arial"/>
                <w:sz w:val="18"/>
                <w:szCs w:val="18"/>
              </w:rPr>
            </w:pPr>
          </w:p>
        </w:tc>
        <w:tc>
          <w:tcPr>
            <w:tcW w:w="864" w:type="pct"/>
            <w:vMerge/>
            <w:shd w:val="clear" w:color="auto" w:fill="auto"/>
            <w:vAlign w:val="center"/>
          </w:tcPr>
          <w:p w:rsidR="00720557" w:rsidRPr="009A7060" w:rsidRDefault="00720557" w:rsidP="00F44538">
            <w:pPr>
              <w:spacing w:after="0" w:line="240" w:lineRule="auto"/>
              <w:jc w:val="center"/>
              <w:rPr>
                <w:rFonts w:cs="Arial"/>
                <w:sz w:val="18"/>
                <w:szCs w:val="18"/>
              </w:rPr>
            </w:pPr>
          </w:p>
        </w:tc>
        <w:tc>
          <w:tcPr>
            <w:tcW w:w="863" w:type="pct"/>
            <w:vMerge/>
            <w:shd w:val="clear" w:color="auto" w:fill="auto"/>
            <w:vAlign w:val="center"/>
          </w:tcPr>
          <w:p w:rsidR="00720557" w:rsidRPr="009A7060" w:rsidRDefault="00720557" w:rsidP="00F44538">
            <w:pPr>
              <w:spacing w:after="0" w:line="240" w:lineRule="auto"/>
              <w:jc w:val="center"/>
              <w:rPr>
                <w:rFonts w:cs="Arial"/>
                <w:sz w:val="18"/>
                <w:szCs w:val="18"/>
              </w:rPr>
            </w:pPr>
          </w:p>
        </w:tc>
        <w:tc>
          <w:tcPr>
            <w:tcW w:w="579" w:type="pct"/>
            <w:shd w:val="clear" w:color="auto" w:fill="auto"/>
            <w:vAlign w:val="center"/>
          </w:tcPr>
          <w:p w:rsidR="00720557" w:rsidRPr="009A7060" w:rsidRDefault="00720557" w:rsidP="00F44538">
            <w:pPr>
              <w:spacing w:after="0" w:line="240" w:lineRule="auto"/>
              <w:jc w:val="center"/>
              <w:rPr>
                <w:rFonts w:cs="Arial"/>
                <w:sz w:val="18"/>
                <w:szCs w:val="18"/>
              </w:rPr>
            </w:pPr>
          </w:p>
        </w:tc>
        <w:tc>
          <w:tcPr>
            <w:tcW w:w="1489" w:type="pct"/>
            <w:shd w:val="clear" w:color="auto" w:fill="auto"/>
            <w:vAlign w:val="center"/>
          </w:tcPr>
          <w:p w:rsidR="00720557" w:rsidRPr="009A7060" w:rsidRDefault="00720557" w:rsidP="00F44538">
            <w:pPr>
              <w:spacing w:after="0" w:line="240" w:lineRule="auto"/>
              <w:jc w:val="center"/>
              <w:rPr>
                <w:rFonts w:cs="Arial"/>
                <w:sz w:val="18"/>
                <w:szCs w:val="18"/>
              </w:rPr>
            </w:pPr>
          </w:p>
        </w:tc>
      </w:tr>
    </w:tbl>
    <w:p w:rsidR="00E9376C" w:rsidRDefault="00E9376C" w:rsidP="00E9376C"/>
    <w:p w:rsidR="00E9376C" w:rsidRPr="00097B19" w:rsidRDefault="00E9376C" w:rsidP="00E40816">
      <w:pPr>
        <w:pStyle w:val="Titolo1"/>
        <w:numPr>
          <w:ilvl w:val="0"/>
          <w:numId w:val="31"/>
        </w:numPr>
      </w:pPr>
      <w:r>
        <w:br w:type="page"/>
      </w:r>
      <w:bookmarkStart w:id="34" w:name="_Toc300303619"/>
      <w:bookmarkStart w:id="35" w:name="_Toc305066064"/>
      <w:bookmarkStart w:id="36" w:name="_Toc316654617"/>
      <w:bookmarkStart w:id="37" w:name="_Toc453712275"/>
      <w:r w:rsidRPr="00097B19">
        <w:lastRenderedPageBreak/>
        <w:t xml:space="preserve"> Ammontare drena</w:t>
      </w:r>
      <w:r w:rsidR="008C316F">
        <w:t>bile</w:t>
      </w:r>
      <w:r w:rsidRPr="00097B19">
        <w:t xml:space="preserve"> da ciascuna controparte bancaria per fronteggiare una condizione di difficoltà attraversata </w:t>
      </w:r>
      <w:bookmarkEnd w:id="34"/>
      <w:bookmarkEnd w:id="35"/>
      <w:bookmarkEnd w:id="36"/>
      <w:r w:rsidR="008C316F">
        <w:t>da</w:t>
      </w:r>
      <w:r w:rsidR="00720557">
        <w:t>l</w:t>
      </w:r>
      <w:r w:rsidR="008C316F">
        <w:t xml:space="preserve"> Confidi</w:t>
      </w:r>
      <w:bookmarkEnd w:id="37"/>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56"/>
        <w:gridCol w:w="4139"/>
      </w:tblGrid>
      <w:tr w:rsidR="00E9376C" w:rsidRPr="004C14F3" w:rsidTr="00F44538">
        <w:trPr>
          <w:trHeight w:val="340"/>
          <w:tblCellSpacing w:w="20" w:type="dxa"/>
        </w:trPr>
        <w:tc>
          <w:tcPr>
            <w:tcW w:w="3096" w:type="dxa"/>
            <w:shd w:val="clear" w:color="auto" w:fill="auto"/>
            <w:vAlign w:val="center"/>
          </w:tcPr>
          <w:p w:rsidR="00E9376C" w:rsidRPr="004C14F3" w:rsidRDefault="00E9376C" w:rsidP="00F44538">
            <w:pPr>
              <w:spacing w:after="0" w:line="240" w:lineRule="auto"/>
              <w:jc w:val="left"/>
              <w:rPr>
                <w:b/>
                <w:sz w:val="18"/>
                <w:szCs w:val="18"/>
              </w:rPr>
            </w:pPr>
            <w:r w:rsidRPr="004C14F3">
              <w:rPr>
                <w:b/>
                <w:sz w:val="18"/>
                <w:szCs w:val="18"/>
              </w:rPr>
              <w:t>ID Banca</w:t>
            </w:r>
          </w:p>
        </w:tc>
        <w:tc>
          <w:tcPr>
            <w:tcW w:w="4079" w:type="dxa"/>
            <w:shd w:val="clear" w:color="auto" w:fill="auto"/>
            <w:vAlign w:val="center"/>
          </w:tcPr>
          <w:p w:rsidR="00E9376C" w:rsidRPr="004C14F3" w:rsidRDefault="00E9376C" w:rsidP="00F44538">
            <w:pPr>
              <w:spacing w:after="0" w:line="240" w:lineRule="auto"/>
              <w:jc w:val="center"/>
              <w:rPr>
                <w:b/>
                <w:sz w:val="18"/>
                <w:szCs w:val="18"/>
              </w:rPr>
            </w:pPr>
            <w:r w:rsidRPr="004C14F3">
              <w:rPr>
                <w:b/>
                <w:sz w:val="18"/>
                <w:szCs w:val="18"/>
              </w:rPr>
              <w:t>Ammontare (mln €)</w:t>
            </w:r>
          </w:p>
        </w:tc>
      </w:tr>
      <w:tr w:rsidR="00E9376C" w:rsidRPr="004C14F3" w:rsidTr="00F44538">
        <w:trPr>
          <w:trHeight w:val="340"/>
          <w:tblCellSpacing w:w="20" w:type="dxa"/>
        </w:trPr>
        <w:tc>
          <w:tcPr>
            <w:tcW w:w="3096" w:type="dxa"/>
            <w:shd w:val="clear" w:color="auto" w:fill="auto"/>
            <w:vAlign w:val="center"/>
          </w:tcPr>
          <w:p w:rsidR="00E9376C" w:rsidRPr="004C14F3" w:rsidRDefault="00E9376C" w:rsidP="00F44538">
            <w:pPr>
              <w:spacing w:after="0" w:line="240" w:lineRule="auto"/>
              <w:jc w:val="left"/>
              <w:rPr>
                <w:sz w:val="18"/>
                <w:szCs w:val="18"/>
              </w:rPr>
            </w:pPr>
            <w:r w:rsidRPr="004C14F3">
              <w:rPr>
                <w:sz w:val="18"/>
                <w:szCs w:val="18"/>
              </w:rPr>
              <w:t>Banca 1</w:t>
            </w:r>
          </w:p>
        </w:tc>
        <w:tc>
          <w:tcPr>
            <w:tcW w:w="4079" w:type="dxa"/>
            <w:shd w:val="clear" w:color="auto" w:fill="auto"/>
            <w:vAlign w:val="center"/>
          </w:tcPr>
          <w:p w:rsidR="00E9376C" w:rsidRPr="004C14F3" w:rsidRDefault="00E9376C" w:rsidP="00F44538">
            <w:pPr>
              <w:spacing w:after="0" w:line="240" w:lineRule="auto"/>
              <w:jc w:val="center"/>
              <w:rPr>
                <w:sz w:val="18"/>
                <w:szCs w:val="18"/>
              </w:rPr>
            </w:pPr>
          </w:p>
        </w:tc>
      </w:tr>
      <w:tr w:rsidR="00E9376C" w:rsidRPr="004C14F3" w:rsidTr="00F44538">
        <w:trPr>
          <w:trHeight w:val="340"/>
          <w:tblCellSpacing w:w="20" w:type="dxa"/>
        </w:trPr>
        <w:tc>
          <w:tcPr>
            <w:tcW w:w="3096" w:type="dxa"/>
            <w:shd w:val="clear" w:color="auto" w:fill="auto"/>
            <w:vAlign w:val="center"/>
          </w:tcPr>
          <w:p w:rsidR="00E9376C" w:rsidRPr="004C14F3" w:rsidRDefault="00E9376C" w:rsidP="00F44538">
            <w:pPr>
              <w:spacing w:after="0" w:line="240" w:lineRule="auto"/>
              <w:jc w:val="left"/>
              <w:rPr>
                <w:sz w:val="18"/>
                <w:szCs w:val="18"/>
              </w:rPr>
            </w:pPr>
            <w:r w:rsidRPr="004C14F3">
              <w:rPr>
                <w:sz w:val="18"/>
                <w:szCs w:val="18"/>
              </w:rPr>
              <w:t>Banca 2</w:t>
            </w:r>
          </w:p>
        </w:tc>
        <w:tc>
          <w:tcPr>
            <w:tcW w:w="4079" w:type="dxa"/>
            <w:shd w:val="clear" w:color="auto" w:fill="auto"/>
            <w:vAlign w:val="center"/>
          </w:tcPr>
          <w:p w:rsidR="00E9376C" w:rsidRPr="004C14F3" w:rsidRDefault="00E9376C" w:rsidP="00F44538">
            <w:pPr>
              <w:spacing w:after="0" w:line="240" w:lineRule="auto"/>
              <w:jc w:val="center"/>
              <w:rPr>
                <w:sz w:val="18"/>
                <w:szCs w:val="18"/>
              </w:rPr>
            </w:pPr>
          </w:p>
        </w:tc>
      </w:tr>
      <w:tr w:rsidR="00E9376C" w:rsidRPr="004C14F3" w:rsidTr="00F44538">
        <w:trPr>
          <w:trHeight w:val="340"/>
          <w:tblCellSpacing w:w="20" w:type="dxa"/>
        </w:trPr>
        <w:tc>
          <w:tcPr>
            <w:tcW w:w="3096" w:type="dxa"/>
            <w:shd w:val="clear" w:color="auto" w:fill="auto"/>
            <w:vAlign w:val="center"/>
          </w:tcPr>
          <w:p w:rsidR="00E9376C" w:rsidRPr="004C14F3" w:rsidRDefault="00E9376C" w:rsidP="00F44538">
            <w:pPr>
              <w:spacing w:after="0" w:line="240" w:lineRule="auto"/>
              <w:jc w:val="left"/>
              <w:rPr>
                <w:sz w:val="18"/>
                <w:szCs w:val="18"/>
              </w:rPr>
            </w:pPr>
            <w:r w:rsidRPr="004C14F3">
              <w:rPr>
                <w:sz w:val="18"/>
                <w:szCs w:val="18"/>
              </w:rPr>
              <w:t>Banca 3</w:t>
            </w:r>
          </w:p>
        </w:tc>
        <w:tc>
          <w:tcPr>
            <w:tcW w:w="4079" w:type="dxa"/>
            <w:shd w:val="clear" w:color="auto" w:fill="auto"/>
            <w:vAlign w:val="center"/>
          </w:tcPr>
          <w:p w:rsidR="00E9376C" w:rsidRPr="004C14F3" w:rsidRDefault="00E9376C" w:rsidP="00F44538">
            <w:pPr>
              <w:spacing w:after="0" w:line="240" w:lineRule="auto"/>
              <w:jc w:val="center"/>
              <w:rPr>
                <w:sz w:val="18"/>
                <w:szCs w:val="18"/>
              </w:rPr>
            </w:pPr>
          </w:p>
        </w:tc>
      </w:tr>
      <w:tr w:rsidR="00E9376C" w:rsidRPr="004C14F3" w:rsidTr="00F44538">
        <w:trPr>
          <w:trHeight w:val="340"/>
          <w:tblCellSpacing w:w="20" w:type="dxa"/>
        </w:trPr>
        <w:tc>
          <w:tcPr>
            <w:tcW w:w="3096" w:type="dxa"/>
            <w:shd w:val="clear" w:color="auto" w:fill="auto"/>
            <w:vAlign w:val="center"/>
          </w:tcPr>
          <w:p w:rsidR="00E9376C" w:rsidRPr="004C14F3" w:rsidRDefault="00E9376C" w:rsidP="00F44538">
            <w:pPr>
              <w:spacing w:after="0" w:line="240" w:lineRule="auto"/>
              <w:jc w:val="left"/>
              <w:rPr>
                <w:sz w:val="18"/>
                <w:szCs w:val="18"/>
              </w:rPr>
            </w:pPr>
            <w:r>
              <w:rPr>
                <w:sz w:val="18"/>
                <w:szCs w:val="18"/>
              </w:rPr>
              <w:t>……..</w:t>
            </w:r>
          </w:p>
        </w:tc>
        <w:tc>
          <w:tcPr>
            <w:tcW w:w="4079" w:type="dxa"/>
            <w:shd w:val="clear" w:color="auto" w:fill="auto"/>
            <w:vAlign w:val="center"/>
          </w:tcPr>
          <w:p w:rsidR="00E9376C" w:rsidRPr="004C14F3" w:rsidRDefault="00E9376C" w:rsidP="00F44538">
            <w:pPr>
              <w:spacing w:after="0" w:line="240" w:lineRule="auto"/>
              <w:jc w:val="center"/>
              <w:rPr>
                <w:sz w:val="18"/>
                <w:szCs w:val="18"/>
              </w:rPr>
            </w:pPr>
          </w:p>
        </w:tc>
      </w:tr>
      <w:tr w:rsidR="00E9376C" w:rsidRPr="004C14F3" w:rsidTr="00F44538">
        <w:trPr>
          <w:trHeight w:val="340"/>
          <w:tblCellSpacing w:w="20" w:type="dxa"/>
        </w:trPr>
        <w:tc>
          <w:tcPr>
            <w:tcW w:w="3096" w:type="dxa"/>
            <w:shd w:val="clear" w:color="auto" w:fill="auto"/>
            <w:vAlign w:val="center"/>
          </w:tcPr>
          <w:p w:rsidR="00E9376C" w:rsidRPr="004C14F3" w:rsidRDefault="00E9376C" w:rsidP="00F44538">
            <w:pPr>
              <w:spacing w:after="0" w:line="240" w:lineRule="auto"/>
              <w:jc w:val="left"/>
              <w:rPr>
                <w:sz w:val="18"/>
                <w:szCs w:val="18"/>
              </w:rPr>
            </w:pPr>
            <w:r>
              <w:rPr>
                <w:sz w:val="18"/>
                <w:szCs w:val="18"/>
              </w:rPr>
              <w:t>……..</w:t>
            </w:r>
          </w:p>
        </w:tc>
        <w:tc>
          <w:tcPr>
            <w:tcW w:w="4079" w:type="dxa"/>
            <w:shd w:val="clear" w:color="auto" w:fill="auto"/>
            <w:vAlign w:val="center"/>
          </w:tcPr>
          <w:p w:rsidR="00E9376C" w:rsidRPr="004C14F3" w:rsidRDefault="00E9376C" w:rsidP="00F44538">
            <w:pPr>
              <w:spacing w:after="0" w:line="240" w:lineRule="auto"/>
              <w:jc w:val="center"/>
              <w:rPr>
                <w:sz w:val="18"/>
                <w:szCs w:val="18"/>
              </w:rPr>
            </w:pPr>
          </w:p>
        </w:tc>
      </w:tr>
      <w:tr w:rsidR="00E9376C" w:rsidRPr="004C14F3" w:rsidTr="00F44538">
        <w:trPr>
          <w:trHeight w:val="340"/>
          <w:tblCellSpacing w:w="20" w:type="dxa"/>
        </w:trPr>
        <w:tc>
          <w:tcPr>
            <w:tcW w:w="3096" w:type="dxa"/>
            <w:shd w:val="clear" w:color="auto" w:fill="auto"/>
            <w:vAlign w:val="center"/>
          </w:tcPr>
          <w:p w:rsidR="00E9376C" w:rsidRPr="004C14F3" w:rsidRDefault="00E9376C" w:rsidP="00F44538">
            <w:pPr>
              <w:spacing w:after="0" w:line="240" w:lineRule="auto"/>
              <w:jc w:val="left"/>
              <w:rPr>
                <w:sz w:val="18"/>
                <w:szCs w:val="18"/>
              </w:rPr>
            </w:pPr>
            <w:r>
              <w:rPr>
                <w:sz w:val="18"/>
                <w:szCs w:val="18"/>
              </w:rPr>
              <w:t>……..</w:t>
            </w:r>
          </w:p>
        </w:tc>
        <w:tc>
          <w:tcPr>
            <w:tcW w:w="4079" w:type="dxa"/>
            <w:shd w:val="clear" w:color="auto" w:fill="auto"/>
            <w:vAlign w:val="center"/>
          </w:tcPr>
          <w:p w:rsidR="00E9376C" w:rsidRPr="004C14F3" w:rsidRDefault="00E9376C" w:rsidP="00F44538">
            <w:pPr>
              <w:spacing w:after="0" w:line="240" w:lineRule="auto"/>
              <w:jc w:val="center"/>
              <w:rPr>
                <w:sz w:val="18"/>
                <w:szCs w:val="18"/>
              </w:rPr>
            </w:pPr>
          </w:p>
        </w:tc>
      </w:tr>
      <w:tr w:rsidR="00E9376C" w:rsidRPr="004C14F3" w:rsidTr="00F44538">
        <w:trPr>
          <w:trHeight w:val="340"/>
          <w:tblCellSpacing w:w="20" w:type="dxa"/>
        </w:trPr>
        <w:tc>
          <w:tcPr>
            <w:tcW w:w="3096" w:type="dxa"/>
            <w:shd w:val="clear" w:color="auto" w:fill="auto"/>
            <w:vAlign w:val="center"/>
          </w:tcPr>
          <w:p w:rsidR="00E9376C" w:rsidRPr="004C14F3" w:rsidRDefault="00E9376C" w:rsidP="00F44538">
            <w:pPr>
              <w:spacing w:after="0" w:line="240" w:lineRule="auto"/>
              <w:jc w:val="left"/>
              <w:rPr>
                <w:sz w:val="18"/>
                <w:szCs w:val="18"/>
              </w:rPr>
            </w:pPr>
            <w:r>
              <w:rPr>
                <w:sz w:val="18"/>
                <w:szCs w:val="18"/>
              </w:rPr>
              <w:t>………..</w:t>
            </w:r>
          </w:p>
        </w:tc>
        <w:tc>
          <w:tcPr>
            <w:tcW w:w="4079" w:type="dxa"/>
            <w:shd w:val="clear" w:color="auto" w:fill="auto"/>
            <w:vAlign w:val="center"/>
          </w:tcPr>
          <w:p w:rsidR="00E9376C" w:rsidRPr="004C14F3" w:rsidRDefault="00E9376C" w:rsidP="00F44538">
            <w:pPr>
              <w:spacing w:after="0" w:line="240" w:lineRule="auto"/>
              <w:jc w:val="center"/>
              <w:rPr>
                <w:sz w:val="18"/>
                <w:szCs w:val="18"/>
              </w:rPr>
            </w:pPr>
          </w:p>
        </w:tc>
      </w:tr>
      <w:tr w:rsidR="00E9376C" w:rsidRPr="004C14F3" w:rsidTr="00F44538">
        <w:trPr>
          <w:trHeight w:val="340"/>
          <w:tblCellSpacing w:w="20" w:type="dxa"/>
        </w:trPr>
        <w:tc>
          <w:tcPr>
            <w:tcW w:w="3096" w:type="dxa"/>
            <w:shd w:val="clear" w:color="auto" w:fill="auto"/>
            <w:vAlign w:val="center"/>
          </w:tcPr>
          <w:p w:rsidR="00E9376C" w:rsidRPr="004C14F3" w:rsidRDefault="00E9376C" w:rsidP="00F44538">
            <w:pPr>
              <w:spacing w:after="0" w:line="240" w:lineRule="auto"/>
              <w:jc w:val="left"/>
              <w:rPr>
                <w:b/>
                <w:i/>
                <w:sz w:val="18"/>
                <w:szCs w:val="18"/>
              </w:rPr>
            </w:pPr>
            <w:r w:rsidRPr="004C14F3">
              <w:rPr>
                <w:b/>
                <w:i/>
                <w:sz w:val="18"/>
                <w:szCs w:val="18"/>
              </w:rPr>
              <w:t xml:space="preserve">Totale controparti: </w:t>
            </w:r>
            <w:r>
              <w:rPr>
                <w:b/>
                <w:i/>
                <w:sz w:val="18"/>
                <w:szCs w:val="18"/>
              </w:rPr>
              <w:t>xx</w:t>
            </w:r>
          </w:p>
        </w:tc>
        <w:tc>
          <w:tcPr>
            <w:tcW w:w="4079" w:type="dxa"/>
            <w:shd w:val="clear" w:color="auto" w:fill="auto"/>
            <w:vAlign w:val="center"/>
          </w:tcPr>
          <w:p w:rsidR="00E9376C" w:rsidRPr="004C14F3" w:rsidRDefault="00E9376C" w:rsidP="00F44538">
            <w:pPr>
              <w:spacing w:after="0" w:line="240" w:lineRule="auto"/>
              <w:jc w:val="center"/>
              <w:rPr>
                <w:b/>
                <w:i/>
                <w:sz w:val="18"/>
                <w:szCs w:val="18"/>
              </w:rPr>
            </w:pPr>
            <w:r w:rsidRPr="004C14F3">
              <w:rPr>
                <w:b/>
                <w:i/>
                <w:sz w:val="18"/>
                <w:szCs w:val="18"/>
              </w:rPr>
              <w:t xml:space="preserve">Totale ammontare finanziato: </w:t>
            </w:r>
            <w:r>
              <w:rPr>
                <w:b/>
                <w:i/>
                <w:sz w:val="18"/>
                <w:szCs w:val="18"/>
              </w:rPr>
              <w:t>xx</w:t>
            </w:r>
            <w:r w:rsidRPr="004C14F3">
              <w:rPr>
                <w:b/>
                <w:i/>
                <w:sz w:val="18"/>
                <w:szCs w:val="18"/>
              </w:rPr>
              <w:t xml:space="preserve"> (mln €)</w:t>
            </w:r>
          </w:p>
        </w:tc>
      </w:tr>
    </w:tbl>
    <w:p w:rsidR="00E9376C" w:rsidRDefault="00E9376C" w:rsidP="00E9376C"/>
    <w:p w:rsidR="00E40816" w:rsidRPr="001B2B27" w:rsidRDefault="00E40816" w:rsidP="00F64D5B">
      <w:pPr>
        <w:spacing w:after="160" w:line="259" w:lineRule="auto"/>
        <w:jc w:val="left"/>
        <w:rPr>
          <w:lang w:eastAsia="it-IT"/>
        </w:rPr>
      </w:pPr>
    </w:p>
    <w:sectPr w:rsidR="00E40816" w:rsidRPr="001B2B27" w:rsidSect="00493AE5">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BB" w:rsidRDefault="000304BB" w:rsidP="00E71D65">
      <w:pPr>
        <w:spacing w:after="0" w:line="240" w:lineRule="auto"/>
      </w:pPr>
      <w:r>
        <w:separator/>
      </w:r>
    </w:p>
  </w:endnote>
  <w:endnote w:type="continuationSeparator" w:id="0">
    <w:p w:rsidR="000304BB" w:rsidRDefault="000304BB" w:rsidP="00E71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ewBskvll BT">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22" w:rsidRDefault="00525C20" w:rsidP="00645872">
    <w:pPr>
      <w:pStyle w:val="Pidipagina"/>
      <w:framePr w:wrap="none" w:vAnchor="text" w:hAnchor="margin" w:xAlign="right" w:y="1"/>
      <w:rPr>
        <w:rStyle w:val="Numeropagina"/>
      </w:rPr>
    </w:pPr>
    <w:r>
      <w:rPr>
        <w:rStyle w:val="Numeropagina"/>
      </w:rPr>
      <w:fldChar w:fldCharType="begin"/>
    </w:r>
    <w:r w:rsidR="00781322">
      <w:rPr>
        <w:rStyle w:val="Numeropagina"/>
      </w:rPr>
      <w:instrText xml:space="preserve">PAGE  </w:instrText>
    </w:r>
    <w:r>
      <w:rPr>
        <w:rStyle w:val="Numeropagina"/>
      </w:rPr>
      <w:fldChar w:fldCharType="end"/>
    </w:r>
  </w:p>
  <w:p w:rsidR="00781322" w:rsidRDefault="00781322" w:rsidP="00F91D4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22" w:rsidRDefault="00781322" w:rsidP="00F91D4B">
    <w:pPr>
      <w:pStyle w:val="Pidipagina"/>
      <w:ind w:right="360"/>
      <w:rPr>
        <w:b/>
        <w:sz w:val="20"/>
      </w:rPr>
    </w:pPr>
  </w:p>
  <w:p w:rsidR="00781322" w:rsidRDefault="00525C20" w:rsidP="00936EC5">
    <w:pPr>
      <w:pStyle w:val="Pidipagina"/>
      <w:framePr w:wrap="none" w:vAnchor="text" w:hAnchor="page" w:x="10702" w:y="65"/>
      <w:rPr>
        <w:rStyle w:val="Numeropagina"/>
      </w:rPr>
    </w:pPr>
    <w:r>
      <w:rPr>
        <w:rStyle w:val="Numeropagina"/>
      </w:rPr>
      <w:fldChar w:fldCharType="begin"/>
    </w:r>
    <w:r w:rsidR="00781322">
      <w:rPr>
        <w:rStyle w:val="Numeropagina"/>
      </w:rPr>
      <w:instrText xml:space="preserve">PAGE  </w:instrText>
    </w:r>
    <w:r>
      <w:rPr>
        <w:rStyle w:val="Numeropagina"/>
      </w:rPr>
      <w:fldChar w:fldCharType="separate"/>
    </w:r>
    <w:r w:rsidR="00992901">
      <w:rPr>
        <w:rStyle w:val="Numeropagina"/>
        <w:noProof/>
      </w:rPr>
      <w:t>2</w:t>
    </w:r>
    <w:r>
      <w:rPr>
        <w:rStyle w:val="Numeropagina"/>
      </w:rPr>
      <w:fldChar w:fldCharType="end"/>
    </w:r>
  </w:p>
  <w:p w:rsidR="00781322" w:rsidRPr="00F91D4B" w:rsidRDefault="00617646" w:rsidP="00617646">
    <w:pPr>
      <w:pStyle w:val="Pidipagina"/>
      <w:spacing w:before="120"/>
      <w:jc w:val="center"/>
      <w:rPr>
        <w:b/>
        <w:sz w:val="20"/>
      </w:rPr>
    </w:pPr>
    <w:r w:rsidRPr="006251A2">
      <w:rPr>
        <w:rFonts w:ascii="Times New Roman" w:hAnsi="Times New Roman" w:cs="Times New Roman"/>
        <w:i/>
      </w:rPr>
      <w:t>CONFESERFIDI – Soc. cons. a r. 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46" w:rsidRDefault="00617646" w:rsidP="00617646">
    <w:pPr>
      <w:pStyle w:val="Pidipagina"/>
      <w:jc w:val="center"/>
    </w:pPr>
    <w:r w:rsidRPr="006251A2">
      <w:rPr>
        <w:rFonts w:ascii="Times New Roman" w:hAnsi="Times New Roman" w:cs="Times New Roman"/>
        <w:i/>
      </w:rPr>
      <w:t>CONFESERFIDI – Soc. cons. a r. 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BB" w:rsidRDefault="000304BB" w:rsidP="00E71D65">
      <w:pPr>
        <w:spacing w:after="0" w:line="240" w:lineRule="auto"/>
      </w:pPr>
      <w:r>
        <w:separator/>
      </w:r>
    </w:p>
  </w:footnote>
  <w:footnote w:type="continuationSeparator" w:id="0">
    <w:p w:rsidR="000304BB" w:rsidRDefault="000304BB" w:rsidP="00E71D65">
      <w:pPr>
        <w:spacing w:after="0" w:line="240" w:lineRule="auto"/>
      </w:pPr>
      <w:r>
        <w:continuationSeparator/>
      </w:r>
    </w:p>
  </w:footnote>
  <w:footnote w:id="1">
    <w:p w:rsidR="0056022A" w:rsidRPr="0056022A" w:rsidRDefault="0056022A">
      <w:pPr>
        <w:pStyle w:val="Testonotaapidipagina"/>
        <w:rPr>
          <w:lang w:val="it-IT"/>
        </w:rPr>
      </w:pPr>
      <w:r w:rsidRPr="00474687">
        <w:rPr>
          <w:rStyle w:val="Rimandonotaapidipagina"/>
          <w:rFonts w:asciiTheme="majorHAnsi" w:hAnsiTheme="majorHAnsi" w:cstheme="majorHAnsi"/>
          <w:sz w:val="16"/>
          <w:szCs w:val="16"/>
        </w:rPr>
        <w:footnoteRef/>
      </w:r>
      <w:r w:rsidRPr="00474687">
        <w:rPr>
          <w:rFonts w:asciiTheme="majorHAnsi" w:hAnsiTheme="majorHAnsi" w:cstheme="majorHAnsi"/>
          <w:sz w:val="16"/>
          <w:szCs w:val="16"/>
        </w:rPr>
        <w:t xml:space="preserve"> </w:t>
      </w:r>
      <w:r w:rsidRPr="003A1FF6">
        <w:rPr>
          <w:rFonts w:ascii="Cambria" w:hAnsi="Cambria" w:cstheme="majorHAnsi"/>
          <w:sz w:val="16"/>
          <w:szCs w:val="16"/>
          <w:lang w:val="it-IT"/>
        </w:rPr>
        <w:t>Il Comitato è composto dall’Amministratore Delegato, dal Presidente del Consiglio di Amministrazione, dal Responsabile</w:t>
      </w:r>
      <w:r w:rsidR="00874CAE" w:rsidRPr="003A1FF6">
        <w:rPr>
          <w:rFonts w:ascii="Cambria" w:hAnsi="Cambria" w:cstheme="majorHAnsi"/>
          <w:sz w:val="16"/>
          <w:szCs w:val="16"/>
          <w:lang w:val="it-IT"/>
        </w:rPr>
        <w:t xml:space="preserve"> </w:t>
      </w:r>
      <w:r w:rsidRPr="003A1FF6">
        <w:rPr>
          <w:rFonts w:ascii="Cambria" w:hAnsi="Cambria" w:cstheme="majorHAnsi"/>
          <w:sz w:val="16"/>
          <w:szCs w:val="16"/>
          <w:lang w:val="it-IT"/>
        </w:rPr>
        <w:t>della Funzione Risk Management</w:t>
      </w:r>
      <w:r w:rsidR="006554BC">
        <w:rPr>
          <w:rFonts w:ascii="Cambria" w:hAnsi="Cambria" w:cstheme="majorHAnsi"/>
          <w:sz w:val="16"/>
          <w:szCs w:val="16"/>
          <w:lang w:val="it-IT"/>
        </w:rPr>
        <w:t xml:space="preserve">, </w:t>
      </w:r>
      <w:r w:rsidRPr="003A1FF6">
        <w:rPr>
          <w:rFonts w:ascii="Cambria" w:hAnsi="Cambria" w:cstheme="majorHAnsi"/>
          <w:sz w:val="16"/>
          <w:szCs w:val="16"/>
          <w:lang w:val="it-IT"/>
        </w:rPr>
        <w:t>dal Responsabile della Funzione dell’</w:t>
      </w:r>
      <w:proofErr w:type="spellStart"/>
      <w:r w:rsidRPr="003A1FF6">
        <w:rPr>
          <w:rFonts w:ascii="Cambria" w:hAnsi="Cambria" w:cstheme="majorHAnsi"/>
          <w:i/>
          <w:sz w:val="16"/>
          <w:szCs w:val="16"/>
          <w:lang w:val="it-IT"/>
        </w:rPr>
        <w:t>Internal</w:t>
      </w:r>
      <w:proofErr w:type="spellEnd"/>
      <w:r w:rsidRPr="003A1FF6">
        <w:rPr>
          <w:rFonts w:ascii="Cambria" w:hAnsi="Cambria" w:cstheme="majorHAnsi"/>
          <w:i/>
          <w:sz w:val="16"/>
          <w:szCs w:val="16"/>
          <w:lang w:val="it-IT"/>
        </w:rPr>
        <w:t xml:space="preserve"> </w:t>
      </w:r>
      <w:proofErr w:type="spellStart"/>
      <w:r w:rsidRPr="003A1FF6">
        <w:rPr>
          <w:rFonts w:ascii="Cambria" w:hAnsi="Cambria" w:cstheme="majorHAnsi"/>
          <w:i/>
          <w:sz w:val="16"/>
          <w:szCs w:val="16"/>
          <w:lang w:val="it-IT"/>
        </w:rPr>
        <w:t>Audit</w:t>
      </w:r>
      <w:proofErr w:type="spellEnd"/>
      <w:r w:rsidR="006554BC">
        <w:rPr>
          <w:rFonts w:ascii="Cambria" w:hAnsi="Cambria" w:cstheme="majorHAnsi"/>
          <w:i/>
          <w:sz w:val="16"/>
          <w:szCs w:val="16"/>
          <w:lang w:val="it-IT"/>
        </w:rPr>
        <w:t xml:space="preserve"> </w:t>
      </w:r>
      <w:r w:rsidR="006554BC" w:rsidRPr="006554BC">
        <w:rPr>
          <w:rFonts w:ascii="Cambria" w:hAnsi="Cambria" w:cstheme="majorHAnsi"/>
          <w:sz w:val="16"/>
          <w:szCs w:val="16"/>
          <w:lang w:val="it-IT"/>
        </w:rPr>
        <w:t>e dal</w:t>
      </w:r>
      <w:r w:rsidR="006554BC">
        <w:rPr>
          <w:rFonts w:ascii="Cambria" w:hAnsi="Cambria" w:cstheme="majorHAnsi"/>
          <w:i/>
          <w:sz w:val="16"/>
          <w:szCs w:val="16"/>
          <w:lang w:val="it-IT"/>
        </w:rPr>
        <w:t xml:space="preserve"> </w:t>
      </w:r>
      <w:r w:rsidR="006554BC">
        <w:rPr>
          <w:rFonts w:ascii="Cambria" w:hAnsi="Cambria" w:cstheme="majorHAnsi"/>
          <w:sz w:val="16"/>
          <w:szCs w:val="16"/>
          <w:lang w:val="it-IT"/>
        </w:rPr>
        <w:t>Responsabile della Funzione Amministrazione e Finanza</w:t>
      </w:r>
      <w:r w:rsidRPr="003A1FF6">
        <w:rPr>
          <w:rFonts w:ascii="Cambria" w:hAnsi="Cambria" w:cstheme="majorHAnsi"/>
          <w:sz w:val="16"/>
          <w:szCs w:val="16"/>
          <w:lang w:val="it-IT"/>
        </w:rPr>
        <w:t>.</w:t>
      </w:r>
      <w:bookmarkStart w:id="17" w:name="_GoBack"/>
      <w:bookmarkEnd w:id="17"/>
    </w:p>
  </w:footnote>
  <w:footnote w:id="2">
    <w:p w:rsidR="00E9376C" w:rsidRPr="00B9760B" w:rsidRDefault="00E9376C" w:rsidP="00E9376C">
      <w:pPr>
        <w:pStyle w:val="Testonotaapidipagina"/>
        <w:rPr>
          <w:rFonts w:ascii="Cambria" w:hAnsi="Cambria" w:cs="Arial"/>
          <w:sz w:val="16"/>
          <w:szCs w:val="16"/>
        </w:rPr>
      </w:pPr>
      <w:r w:rsidRPr="00B97F10">
        <w:rPr>
          <w:rStyle w:val="Rimandonotaapidipagina"/>
          <w:rFonts w:ascii="Cambria" w:hAnsi="Cambria" w:cs="Arial"/>
          <w:sz w:val="16"/>
          <w:szCs w:val="16"/>
        </w:rPr>
        <w:footnoteRef/>
      </w:r>
      <w:r w:rsidRPr="00B97F10">
        <w:rPr>
          <w:rFonts w:ascii="Cambria" w:hAnsi="Cambria" w:cs="Arial"/>
          <w:sz w:val="16"/>
          <w:szCs w:val="16"/>
        </w:rPr>
        <w:t xml:space="preserve"> Cfr. “Piano di continuità operativa”.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5B" w:rsidRPr="00F64D5B" w:rsidRDefault="008924C9">
    <w:pPr>
      <w:pStyle w:val="Intestazione"/>
      <w:rPr>
        <w:lang w:val="en-GB"/>
      </w:rPr>
    </w:pPr>
    <w:r w:rsidRPr="00626727">
      <w:rPr>
        <w:noProof/>
        <w:lang w:eastAsia="it-IT"/>
      </w:rPr>
      <w:drawing>
        <wp:anchor distT="0" distB="0" distL="114300" distR="114300" simplePos="0" relativeHeight="251665408" behindDoc="1" locked="0" layoutInCell="1" allowOverlap="1">
          <wp:simplePos x="0" y="0"/>
          <wp:positionH relativeFrom="margin">
            <wp:align>left</wp:align>
          </wp:positionH>
          <wp:positionV relativeFrom="paragraph">
            <wp:posOffset>11182</wp:posOffset>
          </wp:positionV>
          <wp:extent cx="1143000" cy="233680"/>
          <wp:effectExtent l="0" t="0" r="0" b="0"/>
          <wp:wrapTight wrapText="bothSides">
            <wp:wrapPolygon edited="0">
              <wp:start x="360" y="0"/>
              <wp:lineTo x="0" y="8804"/>
              <wp:lineTo x="0" y="17609"/>
              <wp:lineTo x="720" y="19370"/>
              <wp:lineTo x="15840" y="19370"/>
              <wp:lineTo x="21240" y="17609"/>
              <wp:lineTo x="21240" y="3522"/>
              <wp:lineTo x="3240" y="0"/>
              <wp:lineTo x="360" y="0"/>
            </wp:wrapPolygon>
          </wp:wrapTight>
          <wp:docPr id="7" name="Immagine 7" descr="C:\Users\Franco\Desktop\Logo Confeserfidi\Confeserfid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o\Desktop\Logo Confeserfidi\Confeserfidi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233680"/>
                  </a:xfrm>
                  <a:prstGeom prst="rect">
                    <a:avLst/>
                  </a:prstGeom>
                  <a:noFill/>
                  <a:ln>
                    <a:noFill/>
                  </a:ln>
                </pic:spPr>
              </pic:pic>
            </a:graphicData>
          </a:graphic>
        </wp:anchor>
      </w:drawing>
    </w:r>
    <w:r>
      <w:rPr>
        <w:lang w:val="en-GB"/>
      </w:rPr>
      <w:t xml:space="preserve">     </w:t>
    </w:r>
    <w:r>
      <w:rPr>
        <w:lang w:val="en-GB"/>
      </w:rPr>
      <w:tab/>
    </w:r>
    <w:r>
      <w:rPr>
        <w:lang w:val="en-GB"/>
      </w:rPr>
      <w:tab/>
    </w:r>
    <w:r>
      <w:rPr>
        <w:rFonts w:ascii="Times New Roman" w:hAnsi="Times New Roman" w:cs="Times New Roman"/>
        <w:i/>
        <w:sz w:val="18"/>
        <w:szCs w:val="18"/>
      </w:rPr>
      <w:t>Contingency Funding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2B" w:rsidRDefault="006F472B">
    <w:pPr>
      <w:pStyle w:val="Intestazione"/>
    </w:pPr>
    <w:r>
      <w:rPr>
        <w:rFonts w:ascii="Times New Roman" w:hAnsi="Times New Roman" w:cs="Times New Roman"/>
        <w:i/>
        <w:sz w:val="18"/>
        <w:szCs w:val="18"/>
      </w:rPr>
      <w:t xml:space="preserve">        </w:t>
    </w:r>
    <w:r>
      <w:rPr>
        <w:rFonts w:ascii="Times New Roman" w:hAnsi="Times New Roman" w:cs="Times New Roman"/>
        <w:i/>
        <w:sz w:val="18"/>
        <w:szCs w:val="18"/>
      </w:rPr>
      <w:tab/>
    </w:r>
    <w:r w:rsidRPr="00626727">
      <w:rPr>
        <w:noProof/>
        <w:lang w:eastAsia="it-IT"/>
      </w:rPr>
      <w:drawing>
        <wp:anchor distT="0" distB="0" distL="114300" distR="114300" simplePos="0" relativeHeight="251663360" behindDoc="1" locked="0" layoutInCell="1" allowOverlap="1">
          <wp:simplePos x="0" y="0"/>
          <wp:positionH relativeFrom="margin">
            <wp:posOffset>-302150</wp:posOffset>
          </wp:positionH>
          <wp:positionV relativeFrom="paragraph">
            <wp:posOffset>-136084</wp:posOffset>
          </wp:positionV>
          <wp:extent cx="1143331" cy="234086"/>
          <wp:effectExtent l="0" t="0" r="0" b="0"/>
          <wp:wrapTight wrapText="bothSides">
            <wp:wrapPolygon edited="0">
              <wp:start x="360" y="0"/>
              <wp:lineTo x="0" y="8804"/>
              <wp:lineTo x="0" y="17609"/>
              <wp:lineTo x="720" y="19370"/>
              <wp:lineTo x="15840" y="19370"/>
              <wp:lineTo x="21240" y="17609"/>
              <wp:lineTo x="21240" y="3522"/>
              <wp:lineTo x="3240" y="0"/>
              <wp:lineTo x="360" y="0"/>
            </wp:wrapPolygon>
          </wp:wrapTight>
          <wp:docPr id="6" name="Immagine 6" descr="C:\Users\Franco\Desktop\Logo Confeserfidi\Confeserfid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o\Desktop\Logo Confeserfidi\Confeserfidi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331" cy="234086"/>
                  </a:xfrm>
                  <a:prstGeom prst="rect">
                    <a:avLst/>
                  </a:prstGeom>
                  <a:noFill/>
                  <a:ln>
                    <a:noFill/>
                  </a:ln>
                </pic:spPr>
              </pic:pic>
            </a:graphicData>
          </a:graphic>
        </wp:anchor>
      </w:drawing>
    </w:r>
    <w:r>
      <w:rPr>
        <w:rFonts w:ascii="Times New Roman" w:hAnsi="Times New Roman" w:cs="Times New Roman"/>
        <w:i/>
        <w:sz w:val="18"/>
        <w:szCs w:val="18"/>
      </w:rPr>
      <w:tab/>
      <w:t>Contingency Funding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CFE"/>
    <w:multiLevelType w:val="hybridMultilevel"/>
    <w:tmpl w:val="D4D4624C"/>
    <w:lvl w:ilvl="0" w:tplc="4D147128">
      <w:start w:val="4"/>
      <w:numFmt w:val="bullet"/>
      <w:lvlText w:val="-"/>
      <w:lvlJc w:val="left"/>
      <w:pPr>
        <w:ind w:left="720" w:hanging="360"/>
      </w:pPr>
      <w:rPr>
        <w:rFonts w:ascii="Arial" w:eastAsia="Calibri" w:hAnsi="Arial" w:cs="Aria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E80D82"/>
    <w:multiLevelType w:val="hybridMultilevel"/>
    <w:tmpl w:val="F2B6B40A"/>
    <w:lvl w:ilvl="0" w:tplc="04100001">
      <w:start w:val="1"/>
      <w:numFmt w:val="bullet"/>
      <w:lvlText w:val=""/>
      <w:lvlJc w:val="left"/>
      <w:pPr>
        <w:ind w:left="1068" w:hanging="360"/>
      </w:pPr>
      <w:rPr>
        <w:rFonts w:ascii="Symbol" w:hAnsi="Symbol" w:hint="default"/>
        <w:b w: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2">
    <w:nsid w:val="0AAC1799"/>
    <w:multiLevelType w:val="hybridMultilevel"/>
    <w:tmpl w:val="0DE66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00026B"/>
    <w:multiLevelType w:val="hybridMultilevel"/>
    <w:tmpl w:val="E9D29AE6"/>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A841CF"/>
    <w:multiLevelType w:val="hybridMultilevel"/>
    <w:tmpl w:val="A414445A"/>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A77A0F"/>
    <w:multiLevelType w:val="hybridMultilevel"/>
    <w:tmpl w:val="16FC303C"/>
    <w:lvl w:ilvl="0" w:tplc="FBC2C862">
      <w:start w:val="14"/>
      <w:numFmt w:val="bullet"/>
      <w:lvlText w:val="-"/>
      <w:lvlJc w:val="left"/>
      <w:pPr>
        <w:ind w:left="36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3A1B34"/>
    <w:multiLevelType w:val="hybridMultilevel"/>
    <w:tmpl w:val="C1B4D146"/>
    <w:lvl w:ilvl="0" w:tplc="FBC2C862">
      <w:start w:val="14"/>
      <w:numFmt w:val="bullet"/>
      <w:lvlText w:val="-"/>
      <w:lvlJc w:val="left"/>
      <w:pPr>
        <w:ind w:left="36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AF0587"/>
    <w:multiLevelType w:val="hybridMultilevel"/>
    <w:tmpl w:val="960CF098"/>
    <w:lvl w:ilvl="0" w:tplc="4D147128">
      <w:start w:val="4"/>
      <w:numFmt w:val="bullet"/>
      <w:pStyle w:val="TestoPallino"/>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1E27B3"/>
    <w:multiLevelType w:val="hybridMultilevel"/>
    <w:tmpl w:val="93F8FC42"/>
    <w:lvl w:ilvl="0" w:tplc="FD8EE04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4A7FD7"/>
    <w:multiLevelType w:val="multilevel"/>
    <w:tmpl w:val="B170C82E"/>
    <w:lvl w:ilvl="0">
      <w:start w:val="1"/>
      <w:numFmt w:val="decimal"/>
      <w:lvlText w:val="%1."/>
      <w:lvlJc w:val="left"/>
      <w:pPr>
        <w:ind w:left="360" w:hanging="360"/>
      </w:pPr>
      <w:rPr>
        <w:rFonts w:hint="default"/>
        <w:color w:val="auto"/>
      </w:rPr>
    </w:lvl>
    <w:lvl w:ilvl="1">
      <w:start w:val="1"/>
      <w:numFmt w:val="decimal"/>
      <w:isLgl/>
      <w:lvlText w:val="%1.%2"/>
      <w:lvlJc w:val="left"/>
      <w:pPr>
        <w:ind w:left="56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0">
    <w:nsid w:val="20E52C26"/>
    <w:multiLevelType w:val="hybridMultilevel"/>
    <w:tmpl w:val="D6C25D40"/>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765EF8"/>
    <w:multiLevelType w:val="hybridMultilevel"/>
    <w:tmpl w:val="23AE2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1F525D"/>
    <w:multiLevelType w:val="hybridMultilevel"/>
    <w:tmpl w:val="182A72FA"/>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7817E2"/>
    <w:multiLevelType w:val="hybridMultilevel"/>
    <w:tmpl w:val="893AF104"/>
    <w:lvl w:ilvl="0" w:tplc="5696535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4">
    <w:nsid w:val="333250BF"/>
    <w:multiLevelType w:val="hybridMultilevel"/>
    <w:tmpl w:val="C55A876C"/>
    <w:lvl w:ilvl="0" w:tplc="FD8EE04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810E63"/>
    <w:multiLevelType w:val="hybridMultilevel"/>
    <w:tmpl w:val="1F1E087E"/>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163324"/>
    <w:multiLevelType w:val="hybridMultilevel"/>
    <w:tmpl w:val="473E9054"/>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2D1A83"/>
    <w:multiLevelType w:val="hybridMultilevel"/>
    <w:tmpl w:val="9D8A5B88"/>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547E9C"/>
    <w:multiLevelType w:val="hybridMultilevel"/>
    <w:tmpl w:val="0ACA4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3A55D8C"/>
    <w:multiLevelType w:val="hybridMultilevel"/>
    <w:tmpl w:val="083C2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237899"/>
    <w:multiLevelType w:val="hybridMultilevel"/>
    <w:tmpl w:val="C032D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D6024B1"/>
    <w:multiLevelType w:val="hybridMultilevel"/>
    <w:tmpl w:val="8BB42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EC5247"/>
    <w:multiLevelType w:val="hybridMultilevel"/>
    <w:tmpl w:val="8D08F8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633AD2"/>
    <w:multiLevelType w:val="hybridMultilevel"/>
    <w:tmpl w:val="8006E9B0"/>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F71BCB"/>
    <w:multiLevelType w:val="hybridMultilevel"/>
    <w:tmpl w:val="E7C064A0"/>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8864C7"/>
    <w:multiLevelType w:val="hybridMultilevel"/>
    <w:tmpl w:val="ED86EADE"/>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EE24B2"/>
    <w:multiLevelType w:val="hybridMultilevel"/>
    <w:tmpl w:val="044C53C4"/>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03B713D"/>
    <w:multiLevelType w:val="hybridMultilevel"/>
    <w:tmpl w:val="E77648B0"/>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DC3656"/>
    <w:multiLevelType w:val="hybridMultilevel"/>
    <w:tmpl w:val="80F47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5345CC"/>
    <w:multiLevelType w:val="hybridMultilevel"/>
    <w:tmpl w:val="E8628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803DD3"/>
    <w:multiLevelType w:val="multilevel"/>
    <w:tmpl w:val="D402EF3C"/>
    <w:lvl w:ilvl="0">
      <w:start w:val="1"/>
      <w:numFmt w:val="decimal"/>
      <w:pStyle w:val="AppendiceEnel"/>
      <w:suff w:val="space"/>
      <w:lvlText w:val="Appendice %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4E322DC"/>
    <w:multiLevelType w:val="hybridMultilevel"/>
    <w:tmpl w:val="107A7A5E"/>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6A1A1A"/>
    <w:multiLevelType w:val="hybridMultilevel"/>
    <w:tmpl w:val="3D1264B6"/>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AC53BC"/>
    <w:multiLevelType w:val="hybridMultilevel"/>
    <w:tmpl w:val="59AA47EC"/>
    <w:lvl w:ilvl="0" w:tplc="4D147128">
      <w:start w:val="4"/>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117CDD"/>
    <w:multiLevelType w:val="hybridMultilevel"/>
    <w:tmpl w:val="17CE9218"/>
    <w:lvl w:ilvl="0" w:tplc="FD8EE04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07433D"/>
    <w:multiLevelType w:val="hybridMultilevel"/>
    <w:tmpl w:val="0B309AAE"/>
    <w:lvl w:ilvl="0" w:tplc="FBC2C862">
      <w:start w:val="14"/>
      <w:numFmt w:val="bullet"/>
      <w:lvlText w:val="-"/>
      <w:lvlJc w:val="left"/>
      <w:pPr>
        <w:ind w:left="360" w:hanging="360"/>
      </w:pPr>
      <w:rPr>
        <w:rFonts w:ascii="Times New Roman" w:eastAsia="Times New Roman" w:hAnsi="Times New Roman" w:cs="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E8A02D4"/>
    <w:multiLevelType w:val="hybridMultilevel"/>
    <w:tmpl w:val="6EFEA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4721DB1"/>
    <w:multiLevelType w:val="hybridMultilevel"/>
    <w:tmpl w:val="98BAB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A031B1"/>
    <w:multiLevelType w:val="hybridMultilevel"/>
    <w:tmpl w:val="31366770"/>
    <w:lvl w:ilvl="0" w:tplc="14847832">
      <w:start w:val="1"/>
      <w:numFmt w:val="bullet"/>
      <w:lvlText w:val="­"/>
      <w:lvlJc w:val="left"/>
      <w:pPr>
        <w:ind w:left="720" w:hanging="360"/>
      </w:pPr>
      <w:rPr>
        <w:rFonts w:ascii="Arial" w:hAnsi="Arial" w:hint="default"/>
      </w:rPr>
    </w:lvl>
    <w:lvl w:ilvl="1" w:tplc="14847832">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BE24F08"/>
    <w:multiLevelType w:val="hybridMultilevel"/>
    <w:tmpl w:val="3DCAC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1850DC"/>
    <w:multiLevelType w:val="hybridMultilevel"/>
    <w:tmpl w:val="BE88F402"/>
    <w:lvl w:ilvl="0" w:tplc="5566BFBE">
      <w:start w:val="1"/>
      <w:numFmt w:val="bullet"/>
      <w:lvlText w:val="−"/>
      <w:lvlJc w:val="left"/>
      <w:pPr>
        <w:tabs>
          <w:tab w:val="num" w:pos="1211"/>
        </w:tabs>
        <w:ind w:left="1208" w:hanging="357"/>
      </w:pPr>
      <w:rPr>
        <w:rFonts w:ascii="Calibri" w:hAnsi="Calibri"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num w:numId="1">
    <w:abstractNumId w:val="27"/>
  </w:num>
  <w:num w:numId="2">
    <w:abstractNumId w:val="12"/>
  </w:num>
  <w:num w:numId="3">
    <w:abstractNumId w:val="7"/>
  </w:num>
  <w:num w:numId="4">
    <w:abstractNumId w:val="37"/>
  </w:num>
  <w:num w:numId="5">
    <w:abstractNumId w:val="0"/>
  </w:num>
  <w:num w:numId="6">
    <w:abstractNumId w:val="4"/>
  </w:num>
  <w:num w:numId="7">
    <w:abstractNumId w:val="16"/>
  </w:num>
  <w:num w:numId="8">
    <w:abstractNumId w:val="20"/>
  </w:num>
  <w:num w:numId="9">
    <w:abstractNumId w:val="1"/>
  </w:num>
  <w:num w:numId="10">
    <w:abstractNumId w:val="18"/>
  </w:num>
  <w:num w:numId="11">
    <w:abstractNumId w:val="3"/>
  </w:num>
  <w:num w:numId="12">
    <w:abstractNumId w:val="29"/>
  </w:num>
  <w:num w:numId="13">
    <w:abstractNumId w:val="15"/>
  </w:num>
  <w:num w:numId="14">
    <w:abstractNumId w:val="32"/>
  </w:num>
  <w:num w:numId="15">
    <w:abstractNumId w:val="10"/>
  </w:num>
  <w:num w:numId="16">
    <w:abstractNumId w:val="26"/>
  </w:num>
  <w:num w:numId="17">
    <w:abstractNumId w:val="36"/>
  </w:num>
  <w:num w:numId="18">
    <w:abstractNumId w:val="22"/>
  </w:num>
  <w:num w:numId="19">
    <w:abstractNumId w:val="24"/>
  </w:num>
  <w:num w:numId="20">
    <w:abstractNumId w:val="23"/>
  </w:num>
  <w:num w:numId="21">
    <w:abstractNumId w:val="31"/>
  </w:num>
  <w:num w:numId="22">
    <w:abstractNumId w:val="33"/>
  </w:num>
  <w:num w:numId="23">
    <w:abstractNumId w:val="25"/>
  </w:num>
  <w:num w:numId="24">
    <w:abstractNumId w:val="13"/>
  </w:num>
  <w:num w:numId="25">
    <w:abstractNumId w:val="21"/>
  </w:num>
  <w:num w:numId="26">
    <w:abstractNumId w:val="17"/>
  </w:num>
  <w:num w:numId="27">
    <w:abstractNumId w:val="8"/>
  </w:num>
  <w:num w:numId="28">
    <w:abstractNumId w:val="34"/>
  </w:num>
  <w:num w:numId="29">
    <w:abstractNumId w:val="14"/>
  </w:num>
  <w:num w:numId="30">
    <w:abstractNumId w:val="38"/>
  </w:num>
  <w:num w:numId="31">
    <w:abstractNumId w:val="9"/>
  </w:num>
  <w:num w:numId="32">
    <w:abstractNumId w:val="40"/>
  </w:num>
  <w:num w:numId="33">
    <w:abstractNumId w:val="2"/>
  </w:num>
  <w:num w:numId="34">
    <w:abstractNumId w:val="39"/>
  </w:num>
  <w:num w:numId="35">
    <w:abstractNumId w:val="11"/>
  </w:num>
  <w:num w:numId="36">
    <w:abstractNumId w:val="19"/>
  </w:num>
  <w:num w:numId="37">
    <w:abstractNumId w:val="28"/>
  </w:num>
  <w:num w:numId="38">
    <w:abstractNumId w:val="30"/>
  </w:num>
  <w:num w:numId="39">
    <w:abstractNumId w:val="35"/>
  </w:num>
  <w:num w:numId="40">
    <w:abstractNumId w:val="5"/>
  </w:num>
  <w:num w:numId="41">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358D2"/>
    <w:rsid w:val="00005B50"/>
    <w:rsid w:val="000131F3"/>
    <w:rsid w:val="000201DE"/>
    <w:rsid w:val="00021589"/>
    <w:rsid w:val="0002397A"/>
    <w:rsid w:val="000264B0"/>
    <w:rsid w:val="000304BB"/>
    <w:rsid w:val="00041696"/>
    <w:rsid w:val="000471D6"/>
    <w:rsid w:val="00050D5F"/>
    <w:rsid w:val="0005260B"/>
    <w:rsid w:val="00060D3B"/>
    <w:rsid w:val="00060DE4"/>
    <w:rsid w:val="000630C2"/>
    <w:rsid w:val="0006703E"/>
    <w:rsid w:val="000707D2"/>
    <w:rsid w:val="00076CB5"/>
    <w:rsid w:val="000936BB"/>
    <w:rsid w:val="00093796"/>
    <w:rsid w:val="000A65A5"/>
    <w:rsid w:val="000A7664"/>
    <w:rsid w:val="000A77A8"/>
    <w:rsid w:val="000C2061"/>
    <w:rsid w:val="000E0EBF"/>
    <w:rsid w:val="000E0EE5"/>
    <w:rsid w:val="000F0C4D"/>
    <w:rsid w:val="000F65A8"/>
    <w:rsid w:val="00122628"/>
    <w:rsid w:val="00123D3F"/>
    <w:rsid w:val="001401B7"/>
    <w:rsid w:val="00145AE1"/>
    <w:rsid w:val="001460CB"/>
    <w:rsid w:val="001524AC"/>
    <w:rsid w:val="00153953"/>
    <w:rsid w:val="00155721"/>
    <w:rsid w:val="00172A95"/>
    <w:rsid w:val="0017481E"/>
    <w:rsid w:val="0018679C"/>
    <w:rsid w:val="00190BE8"/>
    <w:rsid w:val="001924EE"/>
    <w:rsid w:val="00193A48"/>
    <w:rsid w:val="001955AE"/>
    <w:rsid w:val="00197084"/>
    <w:rsid w:val="001A5282"/>
    <w:rsid w:val="001A6E2E"/>
    <w:rsid w:val="001B2B27"/>
    <w:rsid w:val="001B3A06"/>
    <w:rsid w:val="001C023D"/>
    <w:rsid w:val="001E1635"/>
    <w:rsid w:val="001E4515"/>
    <w:rsid w:val="001E4D08"/>
    <w:rsid w:val="001E6EAC"/>
    <w:rsid w:val="001F59FF"/>
    <w:rsid w:val="00210640"/>
    <w:rsid w:val="0021572F"/>
    <w:rsid w:val="00215F11"/>
    <w:rsid w:val="00217E62"/>
    <w:rsid w:val="00220FB0"/>
    <w:rsid w:val="002237C9"/>
    <w:rsid w:val="002273C8"/>
    <w:rsid w:val="00227D14"/>
    <w:rsid w:val="002301D9"/>
    <w:rsid w:val="002334A4"/>
    <w:rsid w:val="00237F18"/>
    <w:rsid w:val="002440BC"/>
    <w:rsid w:val="00245A4A"/>
    <w:rsid w:val="00252445"/>
    <w:rsid w:val="00254C15"/>
    <w:rsid w:val="00263C67"/>
    <w:rsid w:val="00270235"/>
    <w:rsid w:val="00272B4A"/>
    <w:rsid w:val="0027529F"/>
    <w:rsid w:val="002752F1"/>
    <w:rsid w:val="0027732B"/>
    <w:rsid w:val="00280111"/>
    <w:rsid w:val="002844B4"/>
    <w:rsid w:val="0028463E"/>
    <w:rsid w:val="00290877"/>
    <w:rsid w:val="002A0B60"/>
    <w:rsid w:val="002A3AEB"/>
    <w:rsid w:val="002A5854"/>
    <w:rsid w:val="002A79B1"/>
    <w:rsid w:val="002B6FA8"/>
    <w:rsid w:val="002C3A0D"/>
    <w:rsid w:val="002D23F9"/>
    <w:rsid w:val="002D59B7"/>
    <w:rsid w:val="002D6A6A"/>
    <w:rsid w:val="002E4B26"/>
    <w:rsid w:val="002E7CE4"/>
    <w:rsid w:val="00307D8C"/>
    <w:rsid w:val="00311DF3"/>
    <w:rsid w:val="003121E1"/>
    <w:rsid w:val="00315644"/>
    <w:rsid w:val="003332C9"/>
    <w:rsid w:val="0033799F"/>
    <w:rsid w:val="0034658F"/>
    <w:rsid w:val="00357D6C"/>
    <w:rsid w:val="00363226"/>
    <w:rsid w:val="0037012E"/>
    <w:rsid w:val="0037380C"/>
    <w:rsid w:val="003749D9"/>
    <w:rsid w:val="00377B55"/>
    <w:rsid w:val="00380CD9"/>
    <w:rsid w:val="00393897"/>
    <w:rsid w:val="00396105"/>
    <w:rsid w:val="00396411"/>
    <w:rsid w:val="003A1FF6"/>
    <w:rsid w:val="003C00EB"/>
    <w:rsid w:val="003C3C8A"/>
    <w:rsid w:val="003C4649"/>
    <w:rsid w:val="003D2738"/>
    <w:rsid w:val="003E164C"/>
    <w:rsid w:val="003E3C27"/>
    <w:rsid w:val="003E721A"/>
    <w:rsid w:val="003E765D"/>
    <w:rsid w:val="003F1584"/>
    <w:rsid w:val="003F56BD"/>
    <w:rsid w:val="00410960"/>
    <w:rsid w:val="004111F6"/>
    <w:rsid w:val="0041198B"/>
    <w:rsid w:val="00421CA8"/>
    <w:rsid w:val="00426DAC"/>
    <w:rsid w:val="004322FF"/>
    <w:rsid w:val="00434880"/>
    <w:rsid w:val="004425D7"/>
    <w:rsid w:val="00447A96"/>
    <w:rsid w:val="00452380"/>
    <w:rsid w:val="00452B5A"/>
    <w:rsid w:val="004535DF"/>
    <w:rsid w:val="00453A77"/>
    <w:rsid w:val="004601D2"/>
    <w:rsid w:val="00466283"/>
    <w:rsid w:val="00474687"/>
    <w:rsid w:val="00476023"/>
    <w:rsid w:val="00484DCB"/>
    <w:rsid w:val="00484F79"/>
    <w:rsid w:val="0048643C"/>
    <w:rsid w:val="00493AE5"/>
    <w:rsid w:val="00495884"/>
    <w:rsid w:val="0049631B"/>
    <w:rsid w:val="004A1157"/>
    <w:rsid w:val="004B114B"/>
    <w:rsid w:val="004C07B4"/>
    <w:rsid w:val="004C23EA"/>
    <w:rsid w:val="004C3CD4"/>
    <w:rsid w:val="004D071D"/>
    <w:rsid w:val="004D65AD"/>
    <w:rsid w:val="004E164C"/>
    <w:rsid w:val="00503671"/>
    <w:rsid w:val="00514324"/>
    <w:rsid w:val="005174FB"/>
    <w:rsid w:val="00517526"/>
    <w:rsid w:val="005238FE"/>
    <w:rsid w:val="00525C20"/>
    <w:rsid w:val="00526625"/>
    <w:rsid w:val="00530E9A"/>
    <w:rsid w:val="00540E34"/>
    <w:rsid w:val="005457DD"/>
    <w:rsid w:val="00546644"/>
    <w:rsid w:val="0056022A"/>
    <w:rsid w:val="005706E6"/>
    <w:rsid w:val="00582357"/>
    <w:rsid w:val="00585CEC"/>
    <w:rsid w:val="00586738"/>
    <w:rsid w:val="00586A67"/>
    <w:rsid w:val="00586A6C"/>
    <w:rsid w:val="005A722F"/>
    <w:rsid w:val="005B3452"/>
    <w:rsid w:val="005C7195"/>
    <w:rsid w:val="005E038C"/>
    <w:rsid w:val="005E3946"/>
    <w:rsid w:val="005E572E"/>
    <w:rsid w:val="00601D86"/>
    <w:rsid w:val="00602B16"/>
    <w:rsid w:val="006153FD"/>
    <w:rsid w:val="00617334"/>
    <w:rsid w:val="006174C6"/>
    <w:rsid w:val="00617646"/>
    <w:rsid w:val="0062442B"/>
    <w:rsid w:val="00634279"/>
    <w:rsid w:val="006346C9"/>
    <w:rsid w:val="00645872"/>
    <w:rsid w:val="0064636A"/>
    <w:rsid w:val="00650BB3"/>
    <w:rsid w:val="006554BC"/>
    <w:rsid w:val="00660480"/>
    <w:rsid w:val="006623A3"/>
    <w:rsid w:val="00667C2D"/>
    <w:rsid w:val="0067019A"/>
    <w:rsid w:val="00673F90"/>
    <w:rsid w:val="006801F4"/>
    <w:rsid w:val="0069501C"/>
    <w:rsid w:val="006A16CA"/>
    <w:rsid w:val="006B57B2"/>
    <w:rsid w:val="006C081A"/>
    <w:rsid w:val="006E66C7"/>
    <w:rsid w:val="006E7A18"/>
    <w:rsid w:val="006F34D2"/>
    <w:rsid w:val="006F472B"/>
    <w:rsid w:val="007156F6"/>
    <w:rsid w:val="00720557"/>
    <w:rsid w:val="007221AD"/>
    <w:rsid w:val="007224FA"/>
    <w:rsid w:val="0072601C"/>
    <w:rsid w:val="007262F7"/>
    <w:rsid w:val="00730835"/>
    <w:rsid w:val="00735448"/>
    <w:rsid w:val="0073623F"/>
    <w:rsid w:val="00744032"/>
    <w:rsid w:val="00745B2D"/>
    <w:rsid w:val="00745D98"/>
    <w:rsid w:val="007574CB"/>
    <w:rsid w:val="00760484"/>
    <w:rsid w:val="007604CF"/>
    <w:rsid w:val="00760642"/>
    <w:rsid w:val="00763874"/>
    <w:rsid w:val="0077325A"/>
    <w:rsid w:val="0077378A"/>
    <w:rsid w:val="0077608E"/>
    <w:rsid w:val="00781322"/>
    <w:rsid w:val="007829E5"/>
    <w:rsid w:val="0078440A"/>
    <w:rsid w:val="00785452"/>
    <w:rsid w:val="00793FA8"/>
    <w:rsid w:val="007948D4"/>
    <w:rsid w:val="00797F1C"/>
    <w:rsid w:val="007A77CE"/>
    <w:rsid w:val="007B2A54"/>
    <w:rsid w:val="007B3715"/>
    <w:rsid w:val="007B6616"/>
    <w:rsid w:val="007D3686"/>
    <w:rsid w:val="007E16B9"/>
    <w:rsid w:val="007E3603"/>
    <w:rsid w:val="007F10F5"/>
    <w:rsid w:val="007F45AE"/>
    <w:rsid w:val="008005DC"/>
    <w:rsid w:val="00803047"/>
    <w:rsid w:val="00837ED3"/>
    <w:rsid w:val="0084070B"/>
    <w:rsid w:val="00841928"/>
    <w:rsid w:val="00844E0F"/>
    <w:rsid w:val="008574C1"/>
    <w:rsid w:val="00860C74"/>
    <w:rsid w:val="00866B55"/>
    <w:rsid w:val="008712F2"/>
    <w:rsid w:val="0087334D"/>
    <w:rsid w:val="00874CAE"/>
    <w:rsid w:val="00885D4A"/>
    <w:rsid w:val="008924C9"/>
    <w:rsid w:val="00892595"/>
    <w:rsid w:val="00897CEC"/>
    <w:rsid w:val="008C316F"/>
    <w:rsid w:val="008C464B"/>
    <w:rsid w:val="008D0FC8"/>
    <w:rsid w:val="008D29D5"/>
    <w:rsid w:val="008F166E"/>
    <w:rsid w:val="009121E6"/>
    <w:rsid w:val="009178A2"/>
    <w:rsid w:val="009242AE"/>
    <w:rsid w:val="009356F9"/>
    <w:rsid w:val="00936EC5"/>
    <w:rsid w:val="009422A7"/>
    <w:rsid w:val="00947D03"/>
    <w:rsid w:val="009535BD"/>
    <w:rsid w:val="00954C9C"/>
    <w:rsid w:val="00960CA9"/>
    <w:rsid w:val="00980ACD"/>
    <w:rsid w:val="00981EF8"/>
    <w:rsid w:val="009864FF"/>
    <w:rsid w:val="00991669"/>
    <w:rsid w:val="00992901"/>
    <w:rsid w:val="0099619B"/>
    <w:rsid w:val="009A26A8"/>
    <w:rsid w:val="009A5EDA"/>
    <w:rsid w:val="009B01E5"/>
    <w:rsid w:val="009B33A9"/>
    <w:rsid w:val="009B64BC"/>
    <w:rsid w:val="009C25F9"/>
    <w:rsid w:val="009D07B3"/>
    <w:rsid w:val="009D5697"/>
    <w:rsid w:val="009E622C"/>
    <w:rsid w:val="009E7639"/>
    <w:rsid w:val="009F2985"/>
    <w:rsid w:val="00A10A28"/>
    <w:rsid w:val="00A130FB"/>
    <w:rsid w:val="00A143BF"/>
    <w:rsid w:val="00A22016"/>
    <w:rsid w:val="00A32C5C"/>
    <w:rsid w:val="00A53CA9"/>
    <w:rsid w:val="00A65318"/>
    <w:rsid w:val="00A65CDE"/>
    <w:rsid w:val="00A73F6D"/>
    <w:rsid w:val="00A85D03"/>
    <w:rsid w:val="00A91A32"/>
    <w:rsid w:val="00A922DE"/>
    <w:rsid w:val="00AA3C2D"/>
    <w:rsid w:val="00AC1035"/>
    <w:rsid w:val="00AC3E6A"/>
    <w:rsid w:val="00AD2EF9"/>
    <w:rsid w:val="00AE52DB"/>
    <w:rsid w:val="00AF382D"/>
    <w:rsid w:val="00B030E6"/>
    <w:rsid w:val="00B118AF"/>
    <w:rsid w:val="00B12079"/>
    <w:rsid w:val="00B15314"/>
    <w:rsid w:val="00B358D2"/>
    <w:rsid w:val="00B438BF"/>
    <w:rsid w:val="00B45180"/>
    <w:rsid w:val="00B45D52"/>
    <w:rsid w:val="00B631B4"/>
    <w:rsid w:val="00B7476A"/>
    <w:rsid w:val="00B765D3"/>
    <w:rsid w:val="00B769BF"/>
    <w:rsid w:val="00B80C43"/>
    <w:rsid w:val="00B82A61"/>
    <w:rsid w:val="00B86A0D"/>
    <w:rsid w:val="00B9369C"/>
    <w:rsid w:val="00B9760B"/>
    <w:rsid w:val="00B97F10"/>
    <w:rsid w:val="00BA5407"/>
    <w:rsid w:val="00BB7B01"/>
    <w:rsid w:val="00BC1857"/>
    <w:rsid w:val="00BC4187"/>
    <w:rsid w:val="00BD59F3"/>
    <w:rsid w:val="00BD5A39"/>
    <w:rsid w:val="00BD73C2"/>
    <w:rsid w:val="00BE2C50"/>
    <w:rsid w:val="00BE3BC9"/>
    <w:rsid w:val="00BF04CB"/>
    <w:rsid w:val="00BF2837"/>
    <w:rsid w:val="00BF3331"/>
    <w:rsid w:val="00BF3392"/>
    <w:rsid w:val="00C04AC4"/>
    <w:rsid w:val="00C05F6B"/>
    <w:rsid w:val="00C1062E"/>
    <w:rsid w:val="00C10C02"/>
    <w:rsid w:val="00C338D3"/>
    <w:rsid w:val="00C35C39"/>
    <w:rsid w:val="00C4196F"/>
    <w:rsid w:val="00C44036"/>
    <w:rsid w:val="00C45BD4"/>
    <w:rsid w:val="00C500DA"/>
    <w:rsid w:val="00C62DC0"/>
    <w:rsid w:val="00C706B0"/>
    <w:rsid w:val="00C74DA4"/>
    <w:rsid w:val="00C84CB7"/>
    <w:rsid w:val="00C86DA3"/>
    <w:rsid w:val="00CA0C63"/>
    <w:rsid w:val="00CB66DC"/>
    <w:rsid w:val="00CC0005"/>
    <w:rsid w:val="00CC41AD"/>
    <w:rsid w:val="00CC4956"/>
    <w:rsid w:val="00CD3A31"/>
    <w:rsid w:val="00CE2E75"/>
    <w:rsid w:val="00CE415F"/>
    <w:rsid w:val="00CE43B3"/>
    <w:rsid w:val="00CF403C"/>
    <w:rsid w:val="00CF59FA"/>
    <w:rsid w:val="00CF7965"/>
    <w:rsid w:val="00CF7AFA"/>
    <w:rsid w:val="00D01B60"/>
    <w:rsid w:val="00D05A73"/>
    <w:rsid w:val="00D07174"/>
    <w:rsid w:val="00D15232"/>
    <w:rsid w:val="00D34BDB"/>
    <w:rsid w:val="00D4267E"/>
    <w:rsid w:val="00D4441C"/>
    <w:rsid w:val="00D46938"/>
    <w:rsid w:val="00D53400"/>
    <w:rsid w:val="00D607A2"/>
    <w:rsid w:val="00D60E8A"/>
    <w:rsid w:val="00D647AD"/>
    <w:rsid w:val="00D6726F"/>
    <w:rsid w:val="00D71690"/>
    <w:rsid w:val="00D71833"/>
    <w:rsid w:val="00D8650B"/>
    <w:rsid w:val="00D97C7E"/>
    <w:rsid w:val="00DB59AD"/>
    <w:rsid w:val="00DD1C4C"/>
    <w:rsid w:val="00DD3B0C"/>
    <w:rsid w:val="00DE506B"/>
    <w:rsid w:val="00DF05F7"/>
    <w:rsid w:val="00DF4D1E"/>
    <w:rsid w:val="00E009B9"/>
    <w:rsid w:val="00E032F1"/>
    <w:rsid w:val="00E35C99"/>
    <w:rsid w:val="00E36EE6"/>
    <w:rsid w:val="00E40816"/>
    <w:rsid w:val="00E41527"/>
    <w:rsid w:val="00E5188B"/>
    <w:rsid w:val="00E662D2"/>
    <w:rsid w:val="00E670E6"/>
    <w:rsid w:val="00E71D65"/>
    <w:rsid w:val="00E813AF"/>
    <w:rsid w:val="00E9376C"/>
    <w:rsid w:val="00EB1C9A"/>
    <w:rsid w:val="00EC1F9E"/>
    <w:rsid w:val="00EC24C3"/>
    <w:rsid w:val="00EC2B2F"/>
    <w:rsid w:val="00EF3A7C"/>
    <w:rsid w:val="00EF3A95"/>
    <w:rsid w:val="00F007B9"/>
    <w:rsid w:val="00F03B86"/>
    <w:rsid w:val="00F371A9"/>
    <w:rsid w:val="00F42CED"/>
    <w:rsid w:val="00F53A17"/>
    <w:rsid w:val="00F55845"/>
    <w:rsid w:val="00F64D5B"/>
    <w:rsid w:val="00F752E4"/>
    <w:rsid w:val="00F804ED"/>
    <w:rsid w:val="00F85B2F"/>
    <w:rsid w:val="00F91D4B"/>
    <w:rsid w:val="00FA5001"/>
    <w:rsid w:val="00FA56C5"/>
    <w:rsid w:val="00FA5B6D"/>
    <w:rsid w:val="00FC3B41"/>
    <w:rsid w:val="00FE0A6A"/>
    <w:rsid w:val="00FE2C4A"/>
    <w:rsid w:val="00FE50CA"/>
    <w:rsid w:val="00FE7D7B"/>
    <w:rsid w:val="00FF06BA"/>
    <w:rsid w:val="00FF23C8"/>
    <w:rsid w:val="00FF492A"/>
    <w:rsid w:val="00FF73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3FD"/>
    <w:pPr>
      <w:spacing w:after="120" w:line="276" w:lineRule="auto"/>
      <w:jc w:val="both"/>
    </w:pPr>
    <w:rPr>
      <w:rFonts w:ascii="Cambria" w:hAnsi="Cambria"/>
    </w:rPr>
  </w:style>
  <w:style w:type="paragraph" w:styleId="Titolo1">
    <w:name w:val="heading 1"/>
    <w:basedOn w:val="Normale"/>
    <w:next w:val="Normale"/>
    <w:link w:val="Titolo1Carattere"/>
    <w:autoRedefine/>
    <w:qFormat/>
    <w:rsid w:val="00E40816"/>
    <w:pPr>
      <w:keepNext/>
      <w:keepLines/>
      <w:spacing w:before="120"/>
      <w:outlineLvl w:val="0"/>
    </w:pPr>
    <w:rPr>
      <w:rFonts w:eastAsia="Batang" w:cs="Arial"/>
      <w:b/>
      <w:bCs/>
      <w:snapToGrid w:val="0"/>
      <w:lang w:eastAsia="it-IT"/>
    </w:rPr>
  </w:style>
  <w:style w:type="paragraph" w:styleId="Titolo2">
    <w:name w:val="heading 2"/>
    <w:basedOn w:val="Normale"/>
    <w:next w:val="Normale"/>
    <w:link w:val="Titolo2Carattere"/>
    <w:autoRedefine/>
    <w:qFormat/>
    <w:rsid w:val="000C2061"/>
    <w:pPr>
      <w:keepNext/>
      <w:keepLines/>
      <w:tabs>
        <w:tab w:val="left" w:pos="4820"/>
      </w:tabs>
      <w:spacing w:before="240"/>
      <w:ind w:left="357"/>
      <w:outlineLvl w:val="1"/>
    </w:pPr>
    <w:rPr>
      <w:rFonts w:eastAsia="Times New Roman" w:cs="Times New Roman"/>
      <w:b/>
      <w:bCs/>
      <w:i/>
      <w:iCs/>
      <w:szCs w:val="24"/>
      <w:lang w:eastAsia="it-IT"/>
    </w:rPr>
  </w:style>
  <w:style w:type="paragraph" w:styleId="Titolo3">
    <w:name w:val="heading 3"/>
    <w:basedOn w:val="Normale"/>
    <w:next w:val="Normale"/>
    <w:link w:val="Titolo3Carattere"/>
    <w:autoRedefine/>
    <w:qFormat/>
    <w:rsid w:val="007224FA"/>
    <w:pPr>
      <w:keepNext/>
      <w:keepLines/>
      <w:tabs>
        <w:tab w:val="left" w:pos="1134"/>
        <w:tab w:val="left" w:pos="1701"/>
        <w:tab w:val="left" w:pos="3686"/>
      </w:tabs>
      <w:autoSpaceDE w:val="0"/>
      <w:autoSpaceDN w:val="0"/>
      <w:spacing w:before="240"/>
      <w:ind w:left="737"/>
      <w:outlineLvl w:val="2"/>
    </w:pPr>
    <w:rPr>
      <w:rFonts w:eastAsia="Times New Roman" w:cs="Times New Roman"/>
      <w:b/>
      <w:bCs/>
      <w:i/>
      <w:iCs/>
      <w:szCs w:val="26"/>
      <w:lang w:eastAsia="it-IT"/>
    </w:rPr>
  </w:style>
  <w:style w:type="paragraph" w:styleId="Titolo4">
    <w:name w:val="heading 4"/>
    <w:basedOn w:val="Titolo3"/>
    <w:next w:val="Normale"/>
    <w:link w:val="Titolo4Carattere"/>
    <w:autoRedefine/>
    <w:uiPriority w:val="99"/>
    <w:qFormat/>
    <w:rsid w:val="00B9369C"/>
    <w:pPr>
      <w:outlineLvl w:val="3"/>
    </w:pPr>
    <w:rPr>
      <w:rFonts w:cs="Arial"/>
      <w:bCs w:val="0"/>
      <w:iCs w:val="0"/>
      <w:snapToGrid w:val="0"/>
      <w:color w:val="222222"/>
      <w:szCs w:val="20"/>
    </w:rPr>
  </w:style>
  <w:style w:type="paragraph" w:styleId="Titolo5">
    <w:name w:val="heading 5"/>
    <w:basedOn w:val="Normale"/>
    <w:next w:val="Normale"/>
    <w:link w:val="Titolo5Carattere"/>
    <w:autoRedefine/>
    <w:qFormat/>
    <w:rsid w:val="00A53CA9"/>
    <w:pPr>
      <w:keepNext/>
      <w:keepLines/>
      <w:autoSpaceDE w:val="0"/>
      <w:autoSpaceDN w:val="0"/>
      <w:spacing w:after="0" w:line="240" w:lineRule="auto"/>
      <w:ind w:right="-493"/>
      <w:outlineLvl w:val="4"/>
    </w:pPr>
    <w:rPr>
      <w:rFonts w:ascii="Arial Narrow" w:eastAsia="Times New Roman" w:hAnsi="Arial Narrow" w:cs="Times New Roman"/>
      <w:b/>
      <w:bCs/>
      <w:i/>
      <w:iCs/>
      <w:snapToGrid w:val="0"/>
      <w:szCs w:val="20"/>
      <w:lang w:eastAsia="it-IT"/>
    </w:rPr>
  </w:style>
  <w:style w:type="paragraph" w:styleId="Titolo6">
    <w:name w:val="heading 6"/>
    <w:basedOn w:val="Normale"/>
    <w:next w:val="Rientronormale"/>
    <w:link w:val="Titolo6Carattere"/>
    <w:qFormat/>
    <w:rsid w:val="00A53CA9"/>
    <w:pPr>
      <w:autoSpaceDE w:val="0"/>
      <w:autoSpaceDN w:val="0"/>
      <w:spacing w:before="720" w:after="480" w:line="240" w:lineRule="auto"/>
      <w:ind w:right="-495"/>
      <w:outlineLvl w:val="5"/>
    </w:pPr>
    <w:rPr>
      <w:rFonts w:ascii="Verdana" w:eastAsia="Times New Roman" w:hAnsi="Verdana" w:cs="Times New Roman"/>
      <w:b/>
      <w:bCs/>
      <w:i/>
      <w:iCs/>
      <w:sz w:val="20"/>
      <w:lang w:eastAsia="it-IT"/>
    </w:rPr>
  </w:style>
  <w:style w:type="paragraph" w:styleId="Titolo7">
    <w:name w:val="heading 7"/>
    <w:basedOn w:val="Normale"/>
    <w:next w:val="Rientronormale"/>
    <w:link w:val="Titolo7Carattere"/>
    <w:qFormat/>
    <w:rsid w:val="00A53CA9"/>
    <w:pPr>
      <w:autoSpaceDE w:val="0"/>
      <w:autoSpaceDN w:val="0"/>
      <w:spacing w:before="720" w:after="480" w:line="240" w:lineRule="auto"/>
      <w:ind w:right="-495"/>
      <w:outlineLvl w:val="6"/>
    </w:pPr>
    <w:rPr>
      <w:rFonts w:ascii="Verdana" w:eastAsia="Times New Roman" w:hAnsi="Verdana" w:cs="Times New Roman"/>
      <w:b/>
      <w:bCs/>
      <w:i/>
      <w:iCs/>
      <w:sz w:val="20"/>
      <w:lang w:eastAsia="it-IT"/>
    </w:rPr>
  </w:style>
  <w:style w:type="paragraph" w:styleId="Titolo8">
    <w:name w:val="heading 8"/>
    <w:basedOn w:val="Normale"/>
    <w:next w:val="Rientronormale"/>
    <w:link w:val="Titolo8Carattere"/>
    <w:qFormat/>
    <w:rsid w:val="00A53CA9"/>
    <w:pPr>
      <w:autoSpaceDE w:val="0"/>
      <w:autoSpaceDN w:val="0"/>
      <w:spacing w:before="720" w:after="480" w:line="240" w:lineRule="auto"/>
      <w:ind w:right="-495"/>
      <w:outlineLvl w:val="7"/>
    </w:pPr>
    <w:rPr>
      <w:rFonts w:ascii="Verdana" w:eastAsia="Times New Roman" w:hAnsi="Verdana" w:cs="Times New Roman"/>
      <w:b/>
      <w:bCs/>
      <w:i/>
      <w:iCs/>
      <w:sz w:val="20"/>
      <w:lang w:eastAsia="it-IT"/>
    </w:rPr>
  </w:style>
  <w:style w:type="paragraph" w:styleId="Titolo9">
    <w:name w:val="heading 9"/>
    <w:basedOn w:val="Normale"/>
    <w:next w:val="Rientronormale"/>
    <w:link w:val="Titolo9Carattere"/>
    <w:qFormat/>
    <w:rsid w:val="00A53CA9"/>
    <w:pPr>
      <w:autoSpaceDE w:val="0"/>
      <w:autoSpaceDN w:val="0"/>
      <w:spacing w:after="0" w:line="240" w:lineRule="auto"/>
      <w:ind w:right="-495"/>
      <w:outlineLvl w:val="8"/>
    </w:pPr>
    <w:rPr>
      <w:rFonts w:ascii="Verdana" w:eastAsia="Times New Roman" w:hAnsi="Verdana" w:cs="Times New Roman"/>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3">
    <w:name w:val="toc 3"/>
    <w:basedOn w:val="Normale"/>
    <w:next w:val="Normale"/>
    <w:autoRedefine/>
    <w:uiPriority w:val="39"/>
    <w:rsid w:val="00B358D2"/>
    <w:pPr>
      <w:spacing w:after="0"/>
      <w:ind w:left="440"/>
      <w:jc w:val="left"/>
    </w:pPr>
    <w:rPr>
      <w:rFonts w:asciiTheme="minorHAnsi" w:hAnsiTheme="minorHAnsi"/>
    </w:rPr>
  </w:style>
  <w:style w:type="paragraph" w:styleId="Sommario2">
    <w:name w:val="toc 2"/>
    <w:basedOn w:val="Normale"/>
    <w:next w:val="Normale"/>
    <w:autoRedefine/>
    <w:uiPriority w:val="39"/>
    <w:rsid w:val="00B358D2"/>
    <w:pPr>
      <w:spacing w:after="0"/>
      <w:ind w:left="220"/>
      <w:jc w:val="left"/>
    </w:pPr>
    <w:rPr>
      <w:rFonts w:asciiTheme="minorHAnsi" w:hAnsiTheme="minorHAnsi"/>
      <w:b/>
    </w:rPr>
  </w:style>
  <w:style w:type="paragraph" w:styleId="Sommario1">
    <w:name w:val="toc 1"/>
    <w:basedOn w:val="Normale"/>
    <w:next w:val="Normale"/>
    <w:autoRedefine/>
    <w:uiPriority w:val="39"/>
    <w:rsid w:val="007221AD"/>
    <w:pPr>
      <w:spacing w:before="120" w:after="0"/>
      <w:jc w:val="left"/>
    </w:pPr>
    <w:rPr>
      <w:rFonts w:asciiTheme="minorHAnsi" w:hAnsiTheme="minorHAnsi"/>
      <w:b/>
      <w:sz w:val="24"/>
      <w:szCs w:val="24"/>
    </w:rPr>
  </w:style>
  <w:style w:type="character" w:styleId="Collegamentoipertestuale">
    <w:name w:val="Hyperlink"/>
    <w:uiPriority w:val="99"/>
    <w:rsid w:val="00B358D2"/>
    <w:rPr>
      <w:color w:val="0000FF"/>
      <w:u w:val="single"/>
    </w:rPr>
  </w:style>
  <w:style w:type="paragraph" w:styleId="Paragrafoelenco">
    <w:name w:val="List Paragraph"/>
    <w:basedOn w:val="Normale"/>
    <w:link w:val="ParagrafoelencoCarattere"/>
    <w:uiPriority w:val="99"/>
    <w:qFormat/>
    <w:rsid w:val="00B358D2"/>
    <w:pPr>
      <w:ind w:left="720"/>
      <w:contextualSpacing/>
    </w:pPr>
  </w:style>
  <w:style w:type="character" w:styleId="Rimandonotaapidipagina">
    <w:name w:val="footnote reference"/>
    <w:aliases w:val="Footnote Reference Number,Footnote Reference_LVL6,Footnote Reference_LVL61,Footnote Reference_LVL62,Footnote Reference_LVL63,Footnote Reference_LVL64,C26 Footnote Number,Footnote symbol,Footnote Reference_LVL65,fn"/>
    <w:qFormat/>
    <w:rsid w:val="00E71D65"/>
    <w:rPr>
      <w:rFonts w:ascii="Arial" w:hAnsi="Arial"/>
      <w:position w:val="6"/>
      <w:sz w:val="18"/>
    </w:rPr>
  </w:style>
  <w:style w:type="paragraph" w:styleId="Testonotaapidipagina">
    <w:name w:val="footnote text"/>
    <w:basedOn w:val="Normale"/>
    <w:link w:val="TestonotaapidipaginaCarattere"/>
    <w:rsid w:val="00E71D65"/>
    <w:pPr>
      <w:spacing w:after="0" w:line="240" w:lineRule="auto"/>
      <w:ind w:left="284" w:hanging="284"/>
    </w:pPr>
    <w:rPr>
      <w:rFonts w:ascii="Arial" w:eastAsia="Times New Roman" w:hAnsi="Arial" w:cs="Times New Roman"/>
      <w:color w:val="000000"/>
      <w:sz w:val="18"/>
      <w:szCs w:val="20"/>
      <w:lang/>
    </w:rPr>
  </w:style>
  <w:style w:type="character" w:customStyle="1" w:styleId="TestonotaapidipaginaCarattere">
    <w:name w:val="Testo nota a piè di pagina Carattere"/>
    <w:basedOn w:val="Carpredefinitoparagrafo"/>
    <w:link w:val="Testonotaapidipagina"/>
    <w:rsid w:val="00E71D65"/>
    <w:rPr>
      <w:rFonts w:ascii="Arial" w:eastAsia="Times New Roman" w:hAnsi="Arial" w:cs="Times New Roman"/>
      <w:color w:val="000000"/>
      <w:sz w:val="18"/>
      <w:szCs w:val="20"/>
      <w:lang/>
    </w:rPr>
  </w:style>
  <w:style w:type="paragraph" w:customStyle="1" w:styleId="Default">
    <w:name w:val="Default"/>
    <w:rsid w:val="007F45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olo1Carattere">
    <w:name w:val="Titolo 1 Carattere"/>
    <w:basedOn w:val="Carpredefinitoparagrafo"/>
    <w:link w:val="Titolo1"/>
    <w:rsid w:val="00E40816"/>
    <w:rPr>
      <w:rFonts w:ascii="Cambria" w:eastAsia="Batang" w:hAnsi="Cambria" w:cs="Arial"/>
      <w:b/>
      <w:bCs/>
      <w:snapToGrid w:val="0"/>
      <w:lang w:eastAsia="it-IT"/>
    </w:rPr>
  </w:style>
  <w:style w:type="character" w:customStyle="1" w:styleId="Titolo2Carattere">
    <w:name w:val="Titolo 2 Carattere"/>
    <w:basedOn w:val="Carpredefinitoparagrafo"/>
    <w:link w:val="Titolo2"/>
    <w:rsid w:val="000C2061"/>
    <w:rPr>
      <w:rFonts w:ascii="Cambria" w:eastAsia="Times New Roman" w:hAnsi="Cambria" w:cs="Times New Roman"/>
      <w:b/>
      <w:bCs/>
      <w:i/>
      <w:iCs/>
      <w:szCs w:val="24"/>
      <w:lang w:eastAsia="it-IT"/>
    </w:rPr>
  </w:style>
  <w:style w:type="character" w:customStyle="1" w:styleId="Titolo3Carattere">
    <w:name w:val="Titolo 3 Carattere"/>
    <w:basedOn w:val="Carpredefinitoparagrafo"/>
    <w:link w:val="Titolo3"/>
    <w:rsid w:val="007224FA"/>
    <w:rPr>
      <w:rFonts w:ascii="Cambria" w:eastAsia="Times New Roman" w:hAnsi="Cambria" w:cs="Times New Roman"/>
      <w:b/>
      <w:bCs/>
      <w:i/>
      <w:iCs/>
      <w:szCs w:val="26"/>
      <w:lang w:eastAsia="it-IT"/>
    </w:rPr>
  </w:style>
  <w:style w:type="character" w:customStyle="1" w:styleId="Titolo4Carattere">
    <w:name w:val="Titolo 4 Carattere"/>
    <w:basedOn w:val="Carpredefinitoparagrafo"/>
    <w:link w:val="Titolo4"/>
    <w:uiPriority w:val="99"/>
    <w:rsid w:val="00B9369C"/>
    <w:rPr>
      <w:rFonts w:ascii="Cambria" w:eastAsia="Times New Roman" w:hAnsi="Cambria" w:cs="Arial"/>
      <w:b/>
      <w:i/>
      <w:snapToGrid w:val="0"/>
      <w:color w:val="222222"/>
      <w:szCs w:val="20"/>
      <w:lang w:eastAsia="it-IT"/>
    </w:rPr>
  </w:style>
  <w:style w:type="character" w:customStyle="1" w:styleId="Titolo5Carattere">
    <w:name w:val="Titolo 5 Carattere"/>
    <w:basedOn w:val="Carpredefinitoparagrafo"/>
    <w:link w:val="Titolo5"/>
    <w:rsid w:val="007F45AE"/>
    <w:rPr>
      <w:rFonts w:ascii="Arial Narrow" w:eastAsia="Times New Roman" w:hAnsi="Arial Narrow" w:cs="Times New Roman"/>
      <w:b/>
      <w:bCs/>
      <w:i/>
      <w:iCs/>
      <w:snapToGrid w:val="0"/>
      <w:szCs w:val="20"/>
      <w:lang w:eastAsia="it-IT"/>
    </w:rPr>
  </w:style>
  <w:style w:type="character" w:customStyle="1" w:styleId="Titolo6Carattere">
    <w:name w:val="Titolo 6 Carattere"/>
    <w:basedOn w:val="Carpredefinitoparagrafo"/>
    <w:link w:val="Titolo6"/>
    <w:rsid w:val="007F45AE"/>
    <w:rPr>
      <w:rFonts w:ascii="Verdana" w:eastAsia="Times New Roman" w:hAnsi="Verdana" w:cs="Times New Roman"/>
      <w:b/>
      <w:bCs/>
      <w:i/>
      <w:iCs/>
      <w:sz w:val="20"/>
      <w:lang w:eastAsia="it-IT"/>
    </w:rPr>
  </w:style>
  <w:style w:type="character" w:customStyle="1" w:styleId="Titolo7Carattere">
    <w:name w:val="Titolo 7 Carattere"/>
    <w:basedOn w:val="Carpredefinitoparagrafo"/>
    <w:link w:val="Titolo7"/>
    <w:rsid w:val="007F45AE"/>
    <w:rPr>
      <w:rFonts w:ascii="Verdana" w:eastAsia="Times New Roman" w:hAnsi="Verdana" w:cs="Times New Roman"/>
      <w:b/>
      <w:bCs/>
      <w:i/>
      <w:iCs/>
      <w:sz w:val="20"/>
      <w:lang w:eastAsia="it-IT"/>
    </w:rPr>
  </w:style>
  <w:style w:type="character" w:customStyle="1" w:styleId="Titolo8Carattere">
    <w:name w:val="Titolo 8 Carattere"/>
    <w:basedOn w:val="Carpredefinitoparagrafo"/>
    <w:link w:val="Titolo8"/>
    <w:rsid w:val="007F45AE"/>
    <w:rPr>
      <w:rFonts w:ascii="Verdana" w:eastAsia="Times New Roman" w:hAnsi="Verdana" w:cs="Times New Roman"/>
      <w:b/>
      <w:bCs/>
      <w:i/>
      <w:iCs/>
      <w:sz w:val="20"/>
      <w:lang w:eastAsia="it-IT"/>
    </w:rPr>
  </w:style>
  <w:style w:type="character" w:customStyle="1" w:styleId="Titolo9Carattere">
    <w:name w:val="Titolo 9 Carattere"/>
    <w:basedOn w:val="Carpredefinitoparagrafo"/>
    <w:link w:val="Titolo9"/>
    <w:rsid w:val="007F45AE"/>
    <w:rPr>
      <w:rFonts w:ascii="Verdana" w:eastAsia="Times New Roman" w:hAnsi="Verdana" w:cs="Times New Roman"/>
      <w:i/>
      <w:iCs/>
      <w:sz w:val="20"/>
      <w:szCs w:val="20"/>
      <w:lang w:eastAsia="it-IT"/>
    </w:rPr>
  </w:style>
  <w:style w:type="character" w:styleId="Rimandocommento">
    <w:name w:val="annotation reference"/>
    <w:semiHidden/>
    <w:rsid w:val="007F45AE"/>
    <w:rPr>
      <w:sz w:val="16"/>
      <w:szCs w:val="16"/>
    </w:rPr>
  </w:style>
  <w:style w:type="paragraph" w:styleId="Testocommento">
    <w:name w:val="annotation text"/>
    <w:basedOn w:val="Normale"/>
    <w:link w:val="TestocommentoCarattere"/>
    <w:semiHidden/>
    <w:rsid w:val="007F45AE"/>
    <w:pPr>
      <w:spacing w:after="0" w:line="240" w:lineRule="auto"/>
    </w:pPr>
    <w:rPr>
      <w:rFonts w:ascii="Verdana" w:eastAsia="Times New Roman" w:hAnsi="Verdana" w:cs="Times New Roman"/>
      <w:sz w:val="20"/>
      <w:szCs w:val="20"/>
      <w:lang w:eastAsia="it-IT"/>
    </w:rPr>
  </w:style>
  <w:style w:type="character" w:customStyle="1" w:styleId="TestocommentoCarattere">
    <w:name w:val="Testo commento Carattere"/>
    <w:basedOn w:val="Carpredefinitoparagrafo"/>
    <w:link w:val="Testocommento"/>
    <w:semiHidden/>
    <w:rsid w:val="007F45AE"/>
    <w:rPr>
      <w:rFonts w:ascii="Verdana" w:eastAsia="Times New Roman" w:hAnsi="Verdana" w:cs="Times New Roman"/>
      <w:sz w:val="20"/>
      <w:szCs w:val="20"/>
      <w:lang w:eastAsia="it-IT"/>
    </w:rPr>
  </w:style>
  <w:style w:type="character" w:customStyle="1" w:styleId="ParagrafoelencoCarattere">
    <w:name w:val="Paragrafo elenco Carattere"/>
    <w:link w:val="Paragrafoelenco"/>
    <w:uiPriority w:val="34"/>
    <w:rsid w:val="007F45AE"/>
  </w:style>
  <w:style w:type="character" w:customStyle="1" w:styleId="hps">
    <w:name w:val="hps"/>
    <w:basedOn w:val="Carpredefinitoparagrafo"/>
    <w:rsid w:val="007F45AE"/>
  </w:style>
  <w:style w:type="paragraph" w:styleId="Rientronormale">
    <w:name w:val="Normal Indent"/>
    <w:basedOn w:val="Normale"/>
    <w:uiPriority w:val="99"/>
    <w:semiHidden/>
    <w:unhideWhenUsed/>
    <w:rsid w:val="007F45AE"/>
    <w:pPr>
      <w:ind w:left="708"/>
    </w:pPr>
  </w:style>
  <w:style w:type="paragraph" w:styleId="Testofumetto">
    <w:name w:val="Balloon Text"/>
    <w:basedOn w:val="Normale"/>
    <w:link w:val="TestofumettoCarattere"/>
    <w:uiPriority w:val="99"/>
    <w:semiHidden/>
    <w:unhideWhenUsed/>
    <w:rsid w:val="007F4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45AE"/>
    <w:rPr>
      <w:rFonts w:ascii="Segoe UI" w:hAnsi="Segoe UI" w:cs="Segoe UI"/>
      <w:sz w:val="18"/>
      <w:szCs w:val="18"/>
    </w:rPr>
  </w:style>
  <w:style w:type="paragraph" w:styleId="Corpodeltesto">
    <w:name w:val="Body Text"/>
    <w:basedOn w:val="Normale"/>
    <w:link w:val="CorpodeltestoCarattere"/>
    <w:rsid w:val="00FA5B6D"/>
    <w:pPr>
      <w:spacing w:line="240" w:lineRule="auto"/>
    </w:pPr>
    <w:rPr>
      <w:rFonts w:ascii="Verdana" w:eastAsia="Times New Roman" w:hAnsi="Verdana" w:cs="Times New Roman"/>
      <w:sz w:val="20"/>
      <w:szCs w:val="24"/>
      <w:lang w:eastAsia="it-IT"/>
    </w:rPr>
  </w:style>
  <w:style w:type="character" w:customStyle="1" w:styleId="CorpodeltestoCarattere">
    <w:name w:val="Corpo del testo Carattere"/>
    <w:basedOn w:val="Carpredefinitoparagrafo"/>
    <w:link w:val="Corpodeltesto"/>
    <w:rsid w:val="00FA5B6D"/>
    <w:rPr>
      <w:rFonts w:ascii="Verdana" w:eastAsia="Times New Roman" w:hAnsi="Verdana" w:cs="Times New Roman"/>
      <w:sz w:val="20"/>
      <w:szCs w:val="24"/>
      <w:lang w:eastAsia="it-IT"/>
    </w:rPr>
  </w:style>
  <w:style w:type="character" w:customStyle="1" w:styleId="A8">
    <w:name w:val="A8"/>
    <w:uiPriority w:val="99"/>
    <w:rsid w:val="00CF7AFA"/>
    <w:rPr>
      <w:rFonts w:cs="NewBskvll BT"/>
      <w:color w:val="000000"/>
      <w:sz w:val="12"/>
      <w:szCs w:val="12"/>
    </w:rPr>
  </w:style>
  <w:style w:type="paragraph" w:customStyle="1" w:styleId="Pa7">
    <w:name w:val="Pa7"/>
    <w:basedOn w:val="Default"/>
    <w:next w:val="Default"/>
    <w:uiPriority w:val="99"/>
    <w:rsid w:val="00CF7AFA"/>
    <w:pPr>
      <w:spacing w:line="221" w:lineRule="atLeast"/>
    </w:pPr>
    <w:rPr>
      <w:rFonts w:ascii="NewBskvll BT" w:eastAsiaTheme="minorHAnsi" w:hAnsi="NewBskvll BT" w:cstheme="minorBidi"/>
      <w:color w:val="auto"/>
    </w:rPr>
  </w:style>
  <w:style w:type="paragraph" w:customStyle="1" w:styleId="Pa10">
    <w:name w:val="Pa10"/>
    <w:basedOn w:val="Default"/>
    <w:next w:val="Default"/>
    <w:uiPriority w:val="99"/>
    <w:rsid w:val="00A143BF"/>
    <w:pPr>
      <w:spacing w:line="221" w:lineRule="atLeast"/>
    </w:pPr>
    <w:rPr>
      <w:rFonts w:ascii="NewBskvll BT" w:eastAsiaTheme="minorHAnsi" w:hAnsi="NewBskvll BT" w:cstheme="minorBidi"/>
      <w:color w:val="auto"/>
    </w:rPr>
  </w:style>
  <w:style w:type="paragraph" w:styleId="Intestazione">
    <w:name w:val="header"/>
    <w:basedOn w:val="Normale"/>
    <w:link w:val="IntestazioneCarattere"/>
    <w:uiPriority w:val="99"/>
    <w:unhideWhenUsed/>
    <w:rsid w:val="005466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644"/>
  </w:style>
  <w:style w:type="paragraph" w:styleId="Pidipagina">
    <w:name w:val="footer"/>
    <w:basedOn w:val="Normale"/>
    <w:link w:val="PidipaginaCarattere"/>
    <w:uiPriority w:val="99"/>
    <w:unhideWhenUsed/>
    <w:rsid w:val="005466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644"/>
  </w:style>
  <w:style w:type="paragraph" w:customStyle="1" w:styleId="bollato">
    <w:name w:val="bollato"/>
    <w:basedOn w:val="Normale"/>
    <w:link w:val="bollatoCarattere"/>
    <w:rsid w:val="00EB1C9A"/>
    <w:pPr>
      <w:overflowPunct w:val="0"/>
      <w:autoSpaceDE w:val="0"/>
      <w:autoSpaceDN w:val="0"/>
      <w:adjustRightInd w:val="0"/>
      <w:spacing w:after="0" w:line="481" w:lineRule="atLeast"/>
    </w:pPr>
    <w:rPr>
      <w:rFonts w:ascii="Times New Roman" w:eastAsia="Times New Roman" w:hAnsi="Times New Roman" w:cs="Times New Roman"/>
      <w:sz w:val="24"/>
      <w:szCs w:val="20"/>
    </w:rPr>
  </w:style>
  <w:style w:type="character" w:customStyle="1" w:styleId="bollatoCarattere">
    <w:name w:val="bollato Carattere"/>
    <w:link w:val="bollato"/>
    <w:rsid w:val="00EB1C9A"/>
    <w:rPr>
      <w:rFonts w:ascii="Times New Roman" w:eastAsia="Times New Roman" w:hAnsi="Times New Roman" w:cs="Times New Roman"/>
      <w:sz w:val="24"/>
      <w:szCs w:val="20"/>
    </w:rPr>
  </w:style>
  <w:style w:type="paragraph" w:styleId="Soggettocommento">
    <w:name w:val="annotation subject"/>
    <w:basedOn w:val="Testocommento"/>
    <w:next w:val="Testocommento"/>
    <w:link w:val="SoggettocommentoCarattere"/>
    <w:uiPriority w:val="99"/>
    <w:semiHidden/>
    <w:unhideWhenUsed/>
    <w:rsid w:val="00EB1C9A"/>
    <w:pPr>
      <w:spacing w:after="160"/>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B1C9A"/>
    <w:rPr>
      <w:rFonts w:ascii="Verdana" w:eastAsia="Times New Roman" w:hAnsi="Verdana" w:cs="Times New Roman"/>
      <w:b/>
      <w:bCs/>
      <w:sz w:val="20"/>
      <w:szCs w:val="20"/>
      <w:lang w:eastAsia="it-IT"/>
    </w:rPr>
  </w:style>
  <w:style w:type="paragraph" w:styleId="Rientrocorpodeltesto2">
    <w:name w:val="Body Text Indent 2"/>
    <w:basedOn w:val="Normale"/>
    <w:link w:val="Rientrocorpodeltesto2Carattere"/>
    <w:uiPriority w:val="99"/>
    <w:semiHidden/>
    <w:unhideWhenUsed/>
    <w:rsid w:val="0017481E"/>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7481E"/>
  </w:style>
  <w:style w:type="paragraph" w:styleId="Nessunaspaziatura">
    <w:name w:val="No Spacing"/>
    <w:link w:val="NessunaspaziaturaCarattere"/>
    <w:uiPriority w:val="1"/>
    <w:qFormat/>
    <w:rsid w:val="00F91D4B"/>
    <w:pPr>
      <w:spacing w:after="0" w:line="240" w:lineRule="auto"/>
    </w:pPr>
    <w:rPr>
      <w:rFonts w:eastAsiaTheme="minorEastAsia"/>
      <w:lang w:val="en-US" w:eastAsia="zh-CN"/>
    </w:rPr>
  </w:style>
  <w:style w:type="character" w:styleId="Numeropagina">
    <w:name w:val="page number"/>
    <w:basedOn w:val="Carpredefinitoparagrafo"/>
    <w:uiPriority w:val="99"/>
    <w:semiHidden/>
    <w:unhideWhenUsed/>
    <w:rsid w:val="00F91D4B"/>
  </w:style>
  <w:style w:type="paragraph" w:styleId="Titolo">
    <w:name w:val="Title"/>
    <w:basedOn w:val="Normale"/>
    <w:next w:val="Normale"/>
    <w:link w:val="TitoloCarattere"/>
    <w:qFormat/>
    <w:rsid w:val="006153FD"/>
    <w:pPr>
      <w:spacing w:before="120" w:after="240" w:line="360" w:lineRule="auto"/>
      <w:contextualSpacing/>
    </w:pPr>
    <w:rPr>
      <w:rFonts w:eastAsiaTheme="majorEastAsia" w:cstheme="majorBidi"/>
      <w:b/>
      <w:bCs/>
      <w:caps/>
      <w:spacing w:val="-10"/>
      <w:kern w:val="28"/>
      <w:sz w:val="24"/>
      <w:szCs w:val="24"/>
    </w:rPr>
  </w:style>
  <w:style w:type="character" w:customStyle="1" w:styleId="TitoloCarattere">
    <w:name w:val="Titolo Carattere"/>
    <w:basedOn w:val="Carpredefinitoparagrafo"/>
    <w:link w:val="Titolo"/>
    <w:rsid w:val="006153FD"/>
    <w:rPr>
      <w:rFonts w:ascii="Cambria" w:eastAsiaTheme="majorEastAsia" w:hAnsi="Cambria" w:cstheme="majorBidi"/>
      <w:b/>
      <w:bCs/>
      <w:caps/>
      <w:spacing w:val="-10"/>
      <w:kern w:val="28"/>
      <w:sz w:val="24"/>
      <w:szCs w:val="24"/>
    </w:rPr>
  </w:style>
  <w:style w:type="character" w:customStyle="1" w:styleId="NessunaspaziaturaCarattere">
    <w:name w:val="Nessuna spaziatura Carattere"/>
    <w:basedOn w:val="Carpredefinitoparagrafo"/>
    <w:link w:val="Nessunaspaziatura"/>
    <w:uiPriority w:val="1"/>
    <w:rsid w:val="00936EC5"/>
    <w:rPr>
      <w:rFonts w:eastAsiaTheme="minorEastAsia"/>
      <w:lang w:val="en-US" w:eastAsia="zh-CN"/>
    </w:rPr>
  </w:style>
  <w:style w:type="paragraph" w:styleId="Titolosommario">
    <w:name w:val="TOC Heading"/>
    <w:basedOn w:val="Titolo1"/>
    <w:next w:val="Normale"/>
    <w:uiPriority w:val="39"/>
    <w:unhideWhenUsed/>
    <w:qFormat/>
    <w:rsid w:val="00730835"/>
    <w:pPr>
      <w:spacing w:before="480" w:after="0"/>
      <w:jc w:val="left"/>
      <w:outlineLvl w:val="9"/>
    </w:pPr>
    <w:rPr>
      <w:rFonts w:asciiTheme="majorHAnsi" w:eastAsiaTheme="majorEastAsia" w:hAnsiTheme="majorHAnsi" w:cstheme="majorBidi"/>
      <w:snapToGrid/>
      <w:color w:val="7B230B" w:themeColor="accent1" w:themeShade="BF"/>
      <w:sz w:val="28"/>
      <w:szCs w:val="28"/>
    </w:rPr>
  </w:style>
  <w:style w:type="paragraph" w:styleId="Sommario4">
    <w:name w:val="toc 4"/>
    <w:basedOn w:val="Normale"/>
    <w:next w:val="Normale"/>
    <w:autoRedefine/>
    <w:uiPriority w:val="39"/>
    <w:semiHidden/>
    <w:unhideWhenUsed/>
    <w:rsid w:val="00730835"/>
    <w:pPr>
      <w:spacing w:after="0"/>
      <w:ind w:left="66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730835"/>
    <w:pPr>
      <w:spacing w:after="0"/>
      <w:ind w:left="88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730835"/>
    <w:pPr>
      <w:spacing w:after="0"/>
      <w:ind w:left="11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730835"/>
    <w:pPr>
      <w:spacing w:after="0"/>
      <w:ind w:left="132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730835"/>
    <w:pPr>
      <w:spacing w:after="0"/>
      <w:ind w:left="154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730835"/>
    <w:pPr>
      <w:spacing w:after="0"/>
      <w:ind w:left="1760"/>
      <w:jc w:val="left"/>
    </w:pPr>
    <w:rPr>
      <w:rFonts w:asciiTheme="minorHAnsi" w:hAnsiTheme="minorHAnsi"/>
      <w:sz w:val="20"/>
      <w:szCs w:val="20"/>
    </w:rPr>
  </w:style>
  <w:style w:type="paragraph" w:customStyle="1" w:styleId="TestoPallino">
    <w:name w:val="TestoPallino"/>
    <w:basedOn w:val="Normale"/>
    <w:rsid w:val="00E9376C"/>
    <w:pPr>
      <w:numPr>
        <w:numId w:val="3"/>
      </w:numPr>
      <w:spacing w:after="0" w:line="240" w:lineRule="auto"/>
      <w:jc w:val="left"/>
    </w:pPr>
    <w:rPr>
      <w:rFonts w:ascii="Arial" w:eastAsia="Times New Roman" w:hAnsi="Arial" w:cs="Arial"/>
      <w:color w:val="000000"/>
      <w:sz w:val="20"/>
      <w:szCs w:val="20"/>
      <w:lang w:eastAsia="it-IT"/>
    </w:rPr>
  </w:style>
  <w:style w:type="paragraph" w:customStyle="1" w:styleId="AppendiceEnel">
    <w:name w:val="Appendice Enel"/>
    <w:basedOn w:val="Testodelblocco"/>
    <w:next w:val="Testodelblocco"/>
    <w:rsid w:val="00E40816"/>
    <w:pPr>
      <w:numPr>
        <w:numId w:val="38"/>
      </w:numPr>
      <w:pBdr>
        <w:top w:val="none" w:sz="0" w:space="0" w:color="auto"/>
        <w:left w:val="none" w:sz="0" w:space="0" w:color="auto"/>
        <w:bottom w:val="none" w:sz="0" w:space="0" w:color="auto"/>
        <w:right w:val="none" w:sz="0" w:space="0" w:color="auto"/>
      </w:pBdr>
      <w:spacing w:line="280" w:lineRule="atLeast"/>
      <w:ind w:left="720" w:right="10" w:hanging="360"/>
    </w:pPr>
    <w:rPr>
      <w:rFonts w:ascii="Bookman Old Style" w:eastAsia="Times New Roman" w:hAnsi="Bookman Old Style" w:cs="Times New Roman"/>
      <w:b/>
      <w:iCs w:val="0"/>
      <w:color w:val="auto"/>
      <w:sz w:val="28"/>
      <w:szCs w:val="20"/>
    </w:rPr>
  </w:style>
  <w:style w:type="table" w:styleId="Grigliatabella">
    <w:name w:val="Table Grid"/>
    <w:basedOn w:val="Tabellanormale"/>
    <w:uiPriority w:val="39"/>
    <w:rsid w:val="00E40816"/>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delblocco">
    <w:name w:val="Block Text"/>
    <w:basedOn w:val="Normale"/>
    <w:uiPriority w:val="99"/>
    <w:semiHidden/>
    <w:unhideWhenUsed/>
    <w:rsid w:val="00E40816"/>
    <w:pPr>
      <w:pBdr>
        <w:top w:val="single" w:sz="2" w:space="10" w:color="A5300F" w:themeColor="accent1" w:shadow="1" w:frame="1"/>
        <w:left w:val="single" w:sz="2" w:space="10" w:color="A5300F" w:themeColor="accent1" w:shadow="1" w:frame="1"/>
        <w:bottom w:val="single" w:sz="2" w:space="10" w:color="A5300F" w:themeColor="accent1" w:shadow="1" w:frame="1"/>
        <w:right w:val="single" w:sz="2" w:space="10" w:color="A5300F" w:themeColor="accent1" w:shadow="1" w:frame="1"/>
      </w:pBdr>
      <w:ind w:left="1152" w:right="1152"/>
    </w:pPr>
    <w:rPr>
      <w:rFonts w:asciiTheme="minorHAnsi" w:eastAsiaTheme="minorEastAsia" w:hAnsiTheme="minorHAnsi"/>
      <w:i/>
      <w:iCs/>
      <w:color w:val="A5300F" w:themeColor="accent1"/>
    </w:rPr>
  </w:style>
  <w:style w:type="table" w:customStyle="1" w:styleId="GridTable1LightAccent1">
    <w:name w:val="Grid Table 1 Light Accent 1"/>
    <w:basedOn w:val="Tabellanormale"/>
    <w:uiPriority w:val="46"/>
    <w:rsid w:val="007F10F5"/>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CellMar>
        <w:top w:w="0" w:type="dxa"/>
        <w:left w:w="108" w:type="dxa"/>
        <w:bottom w:w="0" w:type="dxa"/>
        <w:right w:w="108" w:type="dxa"/>
      </w:tblCellMar>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258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Ross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Rel.01 del 26 ottobre 2022</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1BF7B7-F57B-437B-99F0-B43A0D58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2056</Words>
  <Characters>11721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Albina</cp:lastModifiedBy>
  <cp:revision>106</cp:revision>
  <cp:lastPrinted>2015-09-11T10:23:00Z</cp:lastPrinted>
  <dcterms:created xsi:type="dcterms:W3CDTF">2018-02-06T09:59:00Z</dcterms:created>
  <dcterms:modified xsi:type="dcterms:W3CDTF">2022-12-06T11:04:00Z</dcterms:modified>
</cp:coreProperties>
</file>